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2107F4" w14:textId="538124DE" w:rsidR="001C11BD" w:rsidRDefault="001C11BD">
      <w:pPr>
        <w:shd w:val="clear" w:color="auto" w:fill="FFFFFF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1BD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З</w:t>
      </w:r>
      <w:proofErr w:type="spellStart"/>
      <w:r w:rsidRPr="001C11BD">
        <w:rPr>
          <w:rFonts w:ascii="Times New Roman" w:eastAsia="Times New Roman" w:hAnsi="Times New Roman" w:cs="Times New Roman"/>
          <w:b/>
          <w:sz w:val="36"/>
          <w:szCs w:val="36"/>
        </w:rPr>
        <w:t>астереження</w:t>
      </w:r>
      <w:proofErr w:type="spellEnd"/>
      <w:r w:rsidRPr="001C11BD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, а </w:t>
      </w:r>
      <w:r w:rsidRPr="001C11BD">
        <w:rPr>
          <w:rFonts w:ascii="Times New Roman" w:eastAsia="Times New Roman" w:hAnsi="Times New Roman" w:cs="Times New Roman"/>
          <w:b/>
          <w:sz w:val="36"/>
          <w:szCs w:val="36"/>
        </w:rPr>
        <w:t>не тріумф переможців над переможеними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D" w14:textId="43FAA1D1" w:rsidR="00C6337A" w:rsidRPr="001C11BD" w:rsidRDefault="00C4295D" w:rsidP="001C11BD">
      <w:pPr>
        <w:shd w:val="clear" w:color="auto" w:fill="FFFFFF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1BD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Інформаційні матеріали </w:t>
      </w:r>
      <w:r w:rsidR="001C11BD" w:rsidRPr="001C11BD">
        <w:rPr>
          <w:rFonts w:ascii="Times New Roman" w:eastAsia="Times New Roman" w:hAnsi="Times New Roman" w:cs="Times New Roman"/>
          <w:b/>
          <w:sz w:val="28"/>
          <w:szCs w:val="28"/>
        </w:rPr>
        <w:t>Українського інститут</w:t>
      </w:r>
      <w:r w:rsidR="001C11BD" w:rsidRPr="001C11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1C11BD" w:rsidRPr="001C11BD">
        <w:rPr>
          <w:rFonts w:ascii="Times New Roman" w:eastAsia="Times New Roman" w:hAnsi="Times New Roman" w:cs="Times New Roman"/>
          <w:b/>
          <w:sz w:val="28"/>
          <w:szCs w:val="28"/>
        </w:rPr>
        <w:t xml:space="preserve"> національної пам’яті</w:t>
      </w:r>
      <w:r w:rsidR="001C11BD" w:rsidRPr="001C11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C11BD">
        <w:rPr>
          <w:rFonts w:ascii="Times New Roman" w:eastAsia="Times New Roman" w:hAnsi="Times New Roman" w:cs="Times New Roman"/>
          <w:b/>
          <w:sz w:val="28"/>
          <w:szCs w:val="28"/>
        </w:rPr>
        <w:t xml:space="preserve">до Дня пам’яті та примирення (8 травня) </w:t>
      </w:r>
    </w:p>
    <w:p w14:paraId="00000013" w14:textId="7FFB75F6" w:rsidR="00C6337A" w:rsidRPr="001C11BD" w:rsidRDefault="00C4295D" w:rsidP="001C1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BD">
        <w:rPr>
          <w:rFonts w:ascii="Times New Roman" w:eastAsia="Times New Roman" w:hAnsi="Times New Roman" w:cs="Times New Roman"/>
          <w:b/>
          <w:sz w:val="24"/>
          <w:szCs w:val="24"/>
        </w:rPr>
        <w:t>Законом України «Про увічнення перемоги над нацизмом у Другій світовій війні 1939–1945 років» встановлено День пам’яті та примирення, який відзначається щороку 8 травня з метою вшанування пам’яті всіх жертв Другої світової війни 1939–1945 років.</w:t>
      </w:r>
      <w:r w:rsidR="001C11BD" w:rsidRPr="001C1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C11BD">
        <w:rPr>
          <w:rFonts w:ascii="Times New Roman" w:eastAsia="Times New Roman" w:hAnsi="Times New Roman" w:cs="Times New Roman"/>
          <w:b/>
          <w:sz w:val="24"/>
          <w:szCs w:val="24"/>
        </w:rPr>
        <w:t>Запроваджуючи цю пам’ятну дату, Україна прагнула доєднатися до європейської традиції відзначення перемоги у Другій світовій війні, пошанування всіх борців із нацизмом та жертв війни. А також – нагадати, що війна розпочалася внаслідок домовленостей між двома тоталітарними режимами: націонал-соціалістичним (нацистським) у Нім</w:t>
      </w:r>
      <w:r w:rsidR="001C11BD" w:rsidRPr="001C11BD">
        <w:rPr>
          <w:rFonts w:ascii="Times New Roman" w:eastAsia="Times New Roman" w:hAnsi="Times New Roman" w:cs="Times New Roman"/>
          <w:b/>
          <w:sz w:val="24"/>
          <w:szCs w:val="24"/>
        </w:rPr>
        <w:t xml:space="preserve">еччині й комуністичним в СРСР. </w:t>
      </w:r>
      <w:r w:rsidRPr="001C11BD">
        <w:rPr>
          <w:rFonts w:ascii="Times New Roman" w:eastAsia="Times New Roman" w:hAnsi="Times New Roman" w:cs="Times New Roman"/>
          <w:b/>
          <w:sz w:val="24"/>
          <w:szCs w:val="24"/>
        </w:rPr>
        <w:t>У 1939–1945 роках обидва тоталітарні режими вчинили на українській землі численні злочини проти людяності, воєнні злочини та злочи</w:t>
      </w:r>
      <w:r w:rsidR="00854CA5">
        <w:rPr>
          <w:rFonts w:ascii="Times New Roman" w:eastAsia="Times New Roman" w:hAnsi="Times New Roman" w:cs="Times New Roman"/>
          <w:b/>
          <w:sz w:val="24"/>
          <w:szCs w:val="24"/>
        </w:rPr>
        <w:t xml:space="preserve">ни геноциду. </w:t>
      </w:r>
      <w:r w:rsidRPr="001C11BD">
        <w:rPr>
          <w:rFonts w:ascii="Times New Roman" w:eastAsia="Times New Roman" w:hAnsi="Times New Roman" w:cs="Times New Roman"/>
          <w:b/>
          <w:sz w:val="24"/>
          <w:szCs w:val="24"/>
        </w:rPr>
        <w:t xml:space="preserve">Цього року Україна вдруге відзначає День пам’яті та примирення в умовах повномасштабної збройної агресії Росії. Сучасна війна також супроводжується жахливими воєнними злочинами з боку російської армії та політично-військового керівництва РФ. Український інститут національної пам’яті пропонує надалі дотримуватися європейського підходу в </w:t>
      </w:r>
      <w:proofErr w:type="spellStart"/>
      <w:r w:rsidRPr="001C11BD">
        <w:rPr>
          <w:rFonts w:ascii="Times New Roman" w:eastAsia="Times New Roman" w:hAnsi="Times New Roman" w:cs="Times New Roman"/>
          <w:b/>
          <w:sz w:val="24"/>
          <w:szCs w:val="24"/>
        </w:rPr>
        <w:t>меморіалізації</w:t>
      </w:r>
      <w:proofErr w:type="spellEnd"/>
      <w:r w:rsidRPr="001C11B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подій, героїв і жертв Другої світової та сучасної російсько-української воєн.</w:t>
      </w:r>
    </w:p>
    <w:p w14:paraId="00000014" w14:textId="76811D58" w:rsidR="00C6337A" w:rsidRPr="00854CA5" w:rsidRDefault="00854CA5" w:rsidP="00854C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4CA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Ж</w:t>
      </w:r>
      <w:r w:rsidRPr="00854CA5">
        <w:rPr>
          <w:rFonts w:ascii="Times New Roman" w:eastAsia="Times New Roman" w:hAnsi="Times New Roman" w:cs="Times New Roman"/>
          <w:b/>
          <w:sz w:val="32"/>
          <w:szCs w:val="32"/>
        </w:rPr>
        <w:t>одна країна не може претендувати на виняткову роль у перемозі над нацизмом</w:t>
      </w:r>
    </w:p>
    <w:p w14:paraId="59496B6F" w14:textId="77777777" w:rsidR="00854CA5" w:rsidRDefault="001C11BD" w:rsidP="00854CA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гадаймо та вшануймо</w:t>
      </w:r>
      <w:r w:rsidR="00C4295D">
        <w:rPr>
          <w:rFonts w:ascii="Times New Roman" w:eastAsia="Times New Roman" w:hAnsi="Times New Roman" w:cs="Times New Roman"/>
          <w:sz w:val="28"/>
          <w:szCs w:val="28"/>
        </w:rPr>
        <w:t xml:space="preserve"> подвиг тих, хто боровся з нац</w:t>
      </w:r>
      <w:r w:rsidR="00854CA5">
        <w:rPr>
          <w:rFonts w:ascii="Times New Roman" w:eastAsia="Times New Roman" w:hAnsi="Times New Roman" w:cs="Times New Roman"/>
          <w:sz w:val="28"/>
          <w:szCs w:val="28"/>
        </w:rPr>
        <w:t xml:space="preserve">измом і переміг його. </w:t>
      </w:r>
      <w:r w:rsidR="00854CA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="00C4295D">
        <w:rPr>
          <w:rFonts w:ascii="Times New Roman" w:eastAsia="Times New Roman" w:hAnsi="Times New Roman" w:cs="Times New Roman"/>
          <w:sz w:val="28"/>
          <w:szCs w:val="28"/>
        </w:rPr>
        <w:t>аслуговують</w:t>
      </w:r>
      <w:proofErr w:type="spellEnd"/>
      <w:r w:rsidR="00C4295D">
        <w:rPr>
          <w:rFonts w:ascii="Times New Roman" w:eastAsia="Times New Roman" w:hAnsi="Times New Roman" w:cs="Times New Roman"/>
          <w:sz w:val="28"/>
          <w:szCs w:val="28"/>
        </w:rPr>
        <w:t xml:space="preserve"> на увагу та пам’ять і жертви війни: остарбайтери, діти війни, цивільні, які постраждали від бойових дій та окупації їхніх міст і сіл. Війна – це не лише танки, гармати й масштабні бої. Це – долі, мільйони маленьких і великих людських бід, які тривали роками. </w:t>
      </w:r>
    </w:p>
    <w:p w14:paraId="00000017" w14:textId="572BE3E8" w:rsidR="00C6337A" w:rsidRDefault="00854CA5" w:rsidP="00854CA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Українці </w:t>
      </w:r>
      <w:r w:rsidR="00C4295D" w:rsidRPr="00854CA5">
        <w:rPr>
          <w:rFonts w:ascii="Times New Roman" w:eastAsia="Times New Roman" w:hAnsi="Times New Roman" w:cs="Times New Roman"/>
          <w:sz w:val="28"/>
          <w:szCs w:val="28"/>
        </w:rPr>
        <w:t>зробили значний внесок у перемогу над нацизмом та союзниками гітлерівської Німеччини.</w:t>
      </w:r>
      <w:r w:rsidR="00C4295D">
        <w:rPr>
          <w:rFonts w:ascii="Times New Roman" w:eastAsia="Times New Roman" w:hAnsi="Times New Roman" w:cs="Times New Roman"/>
          <w:sz w:val="28"/>
          <w:szCs w:val="28"/>
        </w:rPr>
        <w:t xml:space="preserve"> Ціна цього внеску – надзвичайні втрати впродовж 1939–1945 років серед українців та інших народів, які жили на території України. Тоді загин</w:t>
      </w:r>
      <w:r>
        <w:rPr>
          <w:rFonts w:ascii="Times New Roman" w:eastAsia="Times New Roman" w:hAnsi="Times New Roman" w:cs="Times New Roman"/>
          <w:sz w:val="28"/>
          <w:szCs w:val="28"/>
        </w:rPr>
        <w:t>уло понад вісім мільйонів осіб.</w:t>
      </w:r>
    </w:p>
    <w:p w14:paraId="00000018" w14:textId="77777777" w:rsidR="00C6337A" w:rsidRDefault="00C4295D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A5">
        <w:rPr>
          <w:rFonts w:ascii="Times New Roman" w:eastAsia="Times New Roman" w:hAnsi="Times New Roman" w:cs="Times New Roman"/>
          <w:sz w:val="28"/>
          <w:szCs w:val="28"/>
        </w:rPr>
        <w:t>Друга світова стала можливою через змову антигуманних режимів – нацистського і радянського.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Спадкоємицею останнього нині є Російська Федерація. Вона прагне привласнити перемогу над нацизмом, щоб маніпулювати й власними громадянами, і міжнародною спільнотою. Ми наголошуємо </w:t>
      </w:r>
      <w:r w:rsidRPr="00854CA5">
        <w:rPr>
          <w:rFonts w:ascii="Times New Roman" w:eastAsia="Times New Roman" w:hAnsi="Times New Roman" w:cs="Times New Roman"/>
          <w:b/>
          <w:sz w:val="28"/>
          <w:szCs w:val="28"/>
        </w:rPr>
        <w:t>–  жодна країна не може претендувати на виняткову роль у перемозі над нацизмом.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Перемога – результат титанічних зусиль десятків держав і сотень народів. Так само неприпустимими є спроби прикриватися моральним авторитетом переможця для агресивної політики, кульмінацією якої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стало злочинне повномасштабне вторгнення Російської Федерації в Україну 24 лютого 2022 року.  </w:t>
      </w:r>
    </w:p>
    <w:p w14:paraId="00000019" w14:textId="77777777" w:rsidR="00C6337A" w:rsidRDefault="00C4295D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Російській Федерації відзначення перемоги над нацизмом поступово перетворювалося на культ, а потім і взагалі на потворне явище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побєдобєсія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», метою якого є пропаганда війни, вивищення над іншими народами, привласнення собі статусу «головного переможця», виправдання агресивної ідеологічної мобілізації громадян, а також плекання безвідповідального та безпідставного реваншизму. Саме через це </w:t>
      </w:r>
      <w:r w:rsidRPr="004878C6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Україна з часів Революції гідності послідовно впроваджує європейський підхід пам’ятання про Другу світову війну.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А також застерігає інші країни від наслідків підтримки, поширення чи потурання російським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наративам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до 9 травня, адже Кремль використовує причетність росіян до перемоги над нацизмом як моральне обґрунтування сучасних дій Росії.</w:t>
      </w:r>
    </w:p>
    <w:p w14:paraId="0000001A" w14:textId="77777777" w:rsidR="00C6337A" w:rsidRDefault="00C4295D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Сьогодні російська влада фактично зруйнувала систему міжнародних відносин, встановлену після Другої світової війни. Збройною агресією проти України вона розв’язала першу в XXI столітті континентальну війну в Європі, підірвавши систему колективної світової безпеки. У цьому РФ нагадує гітлерівську Німеччину 1930-х років напередодні глобального конфлікту. А ми маємо нагадувати світові, що слабкість, страх і нерішучість міжнародної спільноти напередодні Другої світової заохочували агресорів до все більшого розмаху злочинів. Сьогодні міжнародна спільнота має змогу опиратися на той гіркий досвід та історичні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B" w14:textId="49D32EF8" w:rsidR="00C6337A" w:rsidRDefault="00C4295D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День пам’яті та примирення символізує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A5">
        <w:rPr>
          <w:rFonts w:ascii="Times New Roman" w:eastAsia="Times New Roman" w:hAnsi="Times New Roman" w:cs="Times New Roman"/>
          <w:sz w:val="28"/>
          <w:szCs w:val="28"/>
        </w:rPr>
        <w:t>не тріумф переможців над переможеними, а застереження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диктатори завжди прагнуть задовольнити імперські амбіції збройним шляхом, ультиматумами, агресією, анексією. </w:t>
      </w:r>
    </w:p>
    <w:p w14:paraId="0000001C" w14:textId="77777777" w:rsidR="00C6337A" w:rsidRDefault="00C4295D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A5">
        <w:rPr>
          <w:rFonts w:ascii="Times New Roman" w:eastAsia="Times New Roman" w:hAnsi="Times New Roman" w:cs="Times New Roman"/>
          <w:sz w:val="28"/>
          <w:szCs w:val="28"/>
        </w:rPr>
        <w:t>Нині, як і в роки Другої світової війни, Україна воює з агресором.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Однак тепер це – путінська Росія, яка говорить про «вирішальний внесок у перемогу над нацизмом росіян». Сьогодні саме РФ, увібравши в себе всі злочинні практики нацизму й комунізму, зазіхає на нашу територіальну цілісність і зруйнувала мир у Європі. </w:t>
      </w:r>
    </w:p>
    <w:p w14:paraId="0000001D" w14:textId="2794AE47" w:rsidR="00C6337A" w:rsidRDefault="00C4295D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боротьба триває щоденно від 2014 року, і ми неодмінно перемо</w:t>
      </w:r>
      <w:r w:rsidR="00854CA5">
        <w:rPr>
          <w:rFonts w:ascii="Times New Roman" w:eastAsia="Times New Roman" w:hAnsi="Times New Roman" w:cs="Times New Roman"/>
          <w:sz w:val="28"/>
          <w:szCs w:val="28"/>
        </w:rPr>
        <w:t xml:space="preserve">жемо, бо захищаємо рідну землю. </w:t>
      </w:r>
      <w:r>
        <w:rPr>
          <w:rFonts w:ascii="Times New Roman" w:eastAsia="Times New Roman" w:hAnsi="Times New Roman" w:cs="Times New Roman"/>
          <w:sz w:val="28"/>
          <w:szCs w:val="28"/>
        </w:rPr>
        <w:t>Міць наших збройних сил є запорукою існування д</w:t>
      </w:r>
      <w:r w:rsidR="00854CA5">
        <w:rPr>
          <w:rFonts w:ascii="Times New Roman" w:eastAsia="Times New Roman" w:hAnsi="Times New Roman" w:cs="Times New Roman"/>
          <w:sz w:val="28"/>
          <w:szCs w:val="28"/>
        </w:rPr>
        <w:t>ержави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0" w14:textId="77777777" w:rsidR="00C6337A" w:rsidRPr="001C11BD" w:rsidRDefault="00C4295D" w:rsidP="001C1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1C11BD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Внесок українців у перемогу над нацизмом у Другій світовій війні</w:t>
      </w:r>
    </w:p>
    <w:p w14:paraId="00000021" w14:textId="77777777" w:rsidR="00C6337A" w:rsidRDefault="00C429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Друга світова війна стала найбільш кривавою і жорстокою в історії людства – загинуло від 50 до 85 мільйонів людей. Українці воювали на боці антигітлерівської коаліції (Об’єднаних націй) – і в складі Червоної армії, й армій західних союзників, і підпільних рухів Опору – та здійснили значний внесок у перемогу над нацизмом. А українська земля була одним з основних полів битви у цій війні. Ціною перемоги стали надзвичайні втрати впродовж 1939–1945 років – українців та інших народів, які проживали на нашій землі. Загинуло понад вісім мільйонів: близько 3 мільйонів воїнів та 5 мільйонів цивільних. </w:t>
      </w:r>
    </w:p>
    <w:p w14:paraId="00000022" w14:textId="77777777" w:rsidR="00C6337A" w:rsidRDefault="00C429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початку Другої світової війни український народ не мав незалежної держави та був розділений між кількома країнами. Обидві тоталітарні системи (нацисти й комуністи), що однаково не рахувалися з ціною людського життя, використовували невирішене «українське питання» та прагнення українців до незалежності й суверенітету у власних цілях та геополітичних іграх, а українські землі розглядали виключно як ресурс. Єдиним українським політичним суб’єктом у роки війни був визвольний рух – люди й організації, що боролися за незалежність від обох тоталітарних режимів. До таких організацій, зокрема, зараховують й Українську повстанську армію.</w:t>
      </w:r>
    </w:p>
    <w:p w14:paraId="00000023" w14:textId="77777777" w:rsidR="00C6337A" w:rsidRDefault="00C429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Друга світова війна закінчилася зусиллями дипломатії, але виграна вона була сміливими воїнами та зброєю. Сьогодні, коли Росія без оголошення війни напала на Україну і здійснює огидну, безчесну, засуджену міжнародною спільнотою незаконну агресію, ми маємо не просто право на загальнонаціональний збройний спротив, але і на підтримку всього світу. Українці зі зброєю в руках захищають Європу і дають шанс на створення нової, більш справедливої, світової системи безпеки, на побудову більш тривкого миру. Але умовою для цього є перемога над Росією, відновлення територіальної цілісності України та унеможливлення майбутньої агресії росіян проти будь-кого на планеті.</w:t>
      </w:r>
    </w:p>
    <w:p w14:paraId="00000024" w14:textId="77777777" w:rsidR="00C6337A" w:rsidRDefault="00C429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Після перемоги у російсько-українській війні наша держава та український народ отримають нове державне свято перемоги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рашизмом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сучасним нацизмом, що об’єднає все суспільство.</w:t>
      </w:r>
    </w:p>
    <w:p w14:paraId="00000026" w14:textId="77777777" w:rsidR="00C6337A" w:rsidRPr="001C11BD" w:rsidRDefault="00C4295D" w:rsidP="001C11BD">
      <w:pP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11BD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Коли нацизм капітулював</w:t>
      </w:r>
    </w:p>
    <w:p w14:paraId="00000027" w14:textId="77777777" w:rsidR="00C6337A" w:rsidRDefault="00C4295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 про безумовну капітуляцію нацистської Німеччини було підписано у Реймсі 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 годині 41 хвилині 7 травня 1945 року з участю представника від Радянського Союзу генерала Івана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Суслопарова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Проте Сталін відмовився визнати акт. Він захотів підписання нового у Берліні, здобутому Червоною армією. Тож поставив ще одну вимогу союзникам – жодних офіційних оголошень про перемогу до вступу в силу іншої капітуляції.</w:t>
      </w:r>
    </w:p>
    <w:p w14:paraId="00000028" w14:textId="77777777" w:rsidR="00C6337A" w:rsidRDefault="00C4295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Прем’єр Великобританії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Вінстон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Черчилль і президент Сполучених Штатів Гаррі Трумен відмовили. Черчилль послався на парламент, який вимагатиме від нього інформації, а Трумен – на те, що прохання Сталіна надійшло пізно та скасувати оголошення неможливо. </w:t>
      </w:r>
    </w:p>
    <w:p w14:paraId="00000029" w14:textId="77777777" w:rsidR="00C6337A" w:rsidRDefault="00C4295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це Сталін заявив, що підписаний у Реймсі договір не можна скасувати й не можна визнати, адже капітуляція має бути прийнята не на території переможців, а там, звідки прийшла агресія, – в Берліні. Союзники погодилися.</w:t>
      </w:r>
    </w:p>
    <w:p w14:paraId="0000002A" w14:textId="77777777" w:rsidR="00C6337A" w:rsidRDefault="00C4295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Другий Акт про капітуляцію Німеччини підписали у берлінському передмісті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Карлсхорст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8 травня, о 22:43, за центральноєвропейським часом, а це – за московським 9 травня, 00:43. Його текст майже дослівно повторював попередній. Наприклад, підтвердив час припинення вогню – 8 травня, о 23:01, за центральноєвропейським часом.</w:t>
      </w:r>
    </w:p>
    <w:p w14:paraId="0000002C" w14:textId="29005E9F" w:rsidR="00C6337A" w:rsidRPr="00854CA5" w:rsidRDefault="00854CA5" w:rsidP="001C11BD">
      <w:pP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Культ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побєдобєсія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»</w:t>
      </w:r>
    </w:p>
    <w:p w14:paraId="0000002D" w14:textId="77777777" w:rsidR="00C6337A" w:rsidRDefault="00C4295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Свято Дня Перемоги в Радянському Союзі було встановлено тоді ж, 8 травня 1945 року. Указом Президії Верховної Ради СРСР оголошено 9 травня днем всенародного торжества та вихідним днем. У 1945-му в цей день ніяких особливих урочистих заходів не відбулося. Парад Перемоги за наказом Сталіна провели у Москві лише 24 червня. Жодних святкових парадів чи ходи ветеранів на Красній площі не було й у наступні роки. У 1947-му статус цього дня взагалі змінили. Згідно з указом Президії Верховної Ради СРСР від 23 грудня 1947 року, День Перемоги став робочим днем, але залишився одним із державних свят. Поміж іншим, у тому ж 1947 році радянська влада ухвалила рішення про скасування будь-яких виплат і пільг для ветеранів, які були удостоєні державних нагород.</w:t>
      </w:r>
    </w:p>
    <w:p w14:paraId="0000002E" w14:textId="77777777" w:rsidR="00C6337A" w:rsidRDefault="00C4295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1948 до 1965 року 9 травня не було вихідним днем в СРСР, проте певні святкування відбувались. У  містах-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героях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столицях союзних республік давали артилерійський салют, на перших шпальтах радянських газет публікували офіційні вітання з Днем Перемоги. Тож увага до цього дня та певні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комеморативні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заходи зберігалися. Однак, інші радянські свята, наприклад, 1 травня  –  День міжнародної солідарності трудящих та 7 листопада  –  річницю Жовтневої революції в той час відзначали зі значно більшим розмахом.</w:t>
      </w:r>
    </w:p>
    <w:p w14:paraId="0000002F" w14:textId="77777777" w:rsidR="00C6337A" w:rsidRDefault="00C4295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Вихідним День Перемоги знову став у 1965 році. Тоді ж провели і ювілейний Парад Перемоги до 20-ї річниці. Це був другий парад після закінчення війни. Третій відбувся в 1985-му, а четвертий – у 1990 році. Щорічним дійством Парад Перемоги став уже в Російській Федерації з 1995-го. </w:t>
      </w:r>
    </w:p>
    <w:p w14:paraId="00000030" w14:textId="77777777" w:rsidR="00C6337A" w:rsidRDefault="00C4295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Після 1960-х років 9 травня стало головним святом в СРСР, а міф перемоги заступив міф революції. Компартія та особисто Леонід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Брєжнєв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почали активно експлуатувати тематику «Великої Перемоги» як одного зі складників підвищення авторитету правлячої верхівки в суспільстві. </w:t>
      </w:r>
    </w:p>
    <w:p w14:paraId="00000031" w14:textId="77777777" w:rsidR="00C6337A" w:rsidRDefault="00C4295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Пам’ять про Другу світову («Велику Вітчизняну») війну поступово перетворилася на потужний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квазірелігійний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культ. У сучасній Росії міфи про Другу світову війну продовжують залишатися осердям ідентичності,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комеморативні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практики, часто просякнуті профанацією та гротеском, отримали назву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побєдобєсіє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32" w14:textId="7DE679E1" w:rsidR="00C6337A" w:rsidRDefault="00C4295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Всередині РФ риторика перемоги виконувала і виконує функцію ідеологічного складника легітимації правлячого режиму. Однак російська пропаганда спрямовує міфи про Другу світову війну не лише на власну країну та продовжує активно ку</w:t>
      </w:r>
      <w:r w:rsidR="00854CA5">
        <w:rPr>
          <w:rFonts w:ascii="Times New Roman" w:eastAsia="Times New Roman" w:hAnsi="Times New Roman" w:cs="Times New Roman"/>
          <w:sz w:val="28"/>
          <w:szCs w:val="28"/>
        </w:rPr>
        <w:t xml:space="preserve">льтивувати їх серед країн, які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колись були частиною СРСР, а й поширює ці маніпулятивні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Європі та світі. Так РФ намагається атакувати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памʼять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інших країн, їхню ідентичність, а часом і кордони. Держава-агресор послуговується міфом перемоги у Другій світовій війні як індульгенцією, вчиняючи злочини проти цивільних та військовополонених в Україні, прикривається своєю нібито «виключною роллю» в перемозі над Гітлером.</w:t>
      </w:r>
    </w:p>
    <w:p w14:paraId="00000034" w14:textId="18E27DA3" w:rsidR="00C6337A" w:rsidRDefault="00C4295D" w:rsidP="001C11BD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Згадуючи про Другу світову війну 8 травня, світова спільнота має усвідомити та пам’ятати: сучасна Росія – не переможець над Гітлером та нацизмом, не визволитель Європи, а жорстокий агресор, який нехтує міжнародним правом, прагне силової ревізії кордонів і прямує до новітнього тоталітаризму.</w:t>
      </w:r>
    </w:p>
    <w:p w14:paraId="00000035" w14:textId="77777777" w:rsidR="00C6337A" w:rsidRPr="001C11BD" w:rsidRDefault="00C4295D" w:rsidP="001C11B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11BD">
        <w:rPr>
          <w:rFonts w:ascii="Times New Roman" w:eastAsia="Times New Roman" w:hAnsi="Times New Roman" w:cs="Times New Roman"/>
          <w:b/>
          <w:sz w:val="32"/>
          <w:szCs w:val="32"/>
        </w:rPr>
        <w:t>9 травня – День Європи</w:t>
      </w:r>
    </w:p>
    <w:p w14:paraId="00000036" w14:textId="79F75A4B" w:rsidR="00C6337A" w:rsidRDefault="00C4295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Після завершення Другої світової війни європейські країни п</w:t>
      </w:r>
      <w:r w:rsidR="00734060">
        <w:rPr>
          <w:rFonts w:ascii="Times New Roman" w:eastAsia="Times New Roman" w:hAnsi="Times New Roman" w:cs="Times New Roman"/>
          <w:sz w:val="28"/>
          <w:szCs w:val="28"/>
        </w:rPr>
        <w:t>очали продумувати принципи полі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тичної співпраці та економічної кооперації. Зрештою 9 травня 1950 року французький міністр закордонних справ Роберт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виступив з ініціативою налагодити в Європі спільну координа­цію та контроль за важкою промисловістю. Він запропонував розробити принципи спільної політики для  досягнення солідарності в цій окремій галузі. Шляхом до реалізації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мала стати Європейська спільнота вугілля та сталі. За задумом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Франція, Німеччина та інші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європейські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країни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мали передати управління виробництвом вугілля та сталі єдиному органу. Унаслідок такого об’єднання ключові галузі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військовоі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̈ промисловості також мали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перейти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контроль, що унеможливило б підготовку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окремоі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країни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війни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7" w14:textId="77777777" w:rsidR="00C6337A" w:rsidRDefault="00C4295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результаті 18 квітня 1951 року в Парижі був підписаний договір про створення Європейської спільноти вугілля та сталі. Спершу його ратифікували шість країн: Франція, Німеччина, Італія та країни Бенілюксу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Бельгія, Нідерланди й Люксембург. Організація була від­крита для інших європейських країн.</w:t>
      </w:r>
    </w:p>
    <w:p w14:paraId="00000038" w14:textId="77777777" w:rsidR="00C6337A" w:rsidRDefault="00C4295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Нині вважається, що Декларація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офіційно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започаткувала процес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європейськоі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інтеграціі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̈. Саме тому в ЄС 9 травня відзначається День Європи.</w:t>
      </w:r>
    </w:p>
    <w:p w14:paraId="0000003A" w14:textId="303C06B7" w:rsidR="00C6337A" w:rsidRPr="001C11BD" w:rsidRDefault="00854CA5">
      <w:pPr>
        <w:shd w:val="clear" w:color="auto" w:fill="FFFFFF"/>
        <w:ind w:firstLine="85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</w:t>
      </w:r>
      <w:proofErr w:type="spellStart"/>
      <w:r w:rsidR="00C4295D" w:rsidRPr="001C11BD">
        <w:rPr>
          <w:rFonts w:ascii="Times New Roman" w:eastAsia="Times New Roman" w:hAnsi="Times New Roman" w:cs="Times New Roman"/>
          <w:b/>
          <w:sz w:val="32"/>
          <w:szCs w:val="32"/>
        </w:rPr>
        <w:t>ематичні</w:t>
      </w:r>
      <w:proofErr w:type="spellEnd"/>
      <w:r w:rsidR="00C4295D" w:rsidRPr="001C11BD">
        <w:rPr>
          <w:rFonts w:ascii="Times New Roman" w:eastAsia="Times New Roman" w:hAnsi="Times New Roman" w:cs="Times New Roman"/>
          <w:b/>
          <w:sz w:val="32"/>
          <w:szCs w:val="32"/>
        </w:rPr>
        <w:t xml:space="preserve"> матеріали Українського інституту національної пам’яті:</w:t>
      </w:r>
    </w:p>
    <w:p w14:paraId="0000003B" w14:textId="77777777" w:rsidR="00C6337A" w:rsidRDefault="00952E5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Набір електронних інтерактивних листівок «</w:t>
        </w:r>
      </w:hyperlink>
      <w:hyperlink r:id="rId9"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Україна в роки Другої світової війни (1939–1945)»</w:t>
        </w:r>
      </w:hyperlink>
    </w:p>
    <w:p w14:paraId="0000003C" w14:textId="77777777" w:rsidR="00C6337A" w:rsidRDefault="00952E5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Настільна гра «УПА – відповідь нескореного народу»</w:t>
        </w:r>
      </w:hyperlink>
    </w:p>
    <w:p w14:paraId="0000003D" w14:textId="77777777" w:rsidR="00C6337A" w:rsidRDefault="00952E5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proofErr w:type="spellStart"/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Відеоісторія</w:t>
        </w:r>
        <w:proofErr w:type="spellEnd"/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«За що боролася УПА?»</w:t>
        </w:r>
      </w:hyperlink>
    </w:p>
    <w:p w14:paraId="0000003E" w14:textId="77777777" w:rsidR="00C6337A" w:rsidRDefault="00952E5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Виставка «Українська Друга світова»</w:t>
        </w:r>
      </w:hyperlink>
    </w:p>
    <w:p w14:paraId="0000003F" w14:textId="77777777" w:rsidR="00C6337A" w:rsidRDefault="00952E5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Виставка «УПА – відповідь нескореного народу»</w:t>
        </w:r>
      </w:hyperlink>
    </w:p>
    <w:p w14:paraId="00000040" w14:textId="77777777" w:rsidR="00C6337A" w:rsidRDefault="00952E5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Виставка «Тріумф людини. Мешканці України, які пройшли нацистські концтабори»</w:t>
        </w:r>
      </w:hyperlink>
    </w:p>
    <w:p w14:paraId="00000041" w14:textId="77777777" w:rsidR="00C6337A" w:rsidRDefault="00952E5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Брошура «Україна у Другій світовій війні»</w:t>
        </w:r>
      </w:hyperlink>
    </w:p>
    <w:p w14:paraId="00000042" w14:textId="77777777" w:rsidR="00C6337A" w:rsidRDefault="00952E5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Книга «Війна і міф»</w:t>
        </w:r>
      </w:hyperlink>
      <w:r w:rsidR="00C4295D">
        <w:rPr>
          <w:rFonts w:ascii="Times New Roman" w:eastAsia="Times New Roman" w:hAnsi="Times New Roman" w:cs="Times New Roman"/>
          <w:sz w:val="28"/>
          <w:szCs w:val="28"/>
        </w:rPr>
        <w:t xml:space="preserve"> (англомовний варіант)</w:t>
      </w:r>
    </w:p>
    <w:p w14:paraId="00000043" w14:textId="77777777" w:rsidR="00C6337A" w:rsidRDefault="00952E5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proofErr w:type="spellStart"/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Відеопроєкт</w:t>
        </w:r>
        <w:proofErr w:type="spellEnd"/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«Війна і міф»</w:t>
        </w:r>
      </w:hyperlink>
      <w:r w:rsidR="00C4295D">
        <w:rPr>
          <w:rFonts w:ascii="Times New Roman" w:eastAsia="Times New Roman" w:hAnsi="Times New Roman" w:cs="Times New Roman"/>
          <w:sz w:val="28"/>
          <w:szCs w:val="28"/>
        </w:rPr>
        <w:t>, який розвінчує ключові радянські міфи про Другу світову війни</w:t>
      </w:r>
    </w:p>
    <w:p w14:paraId="00000044" w14:textId="77777777" w:rsidR="00C6337A" w:rsidRDefault="00952E5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18"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«Бабин Яр: пам’ять на тлі історії. Путівник для вчителя»</w:t>
        </w:r>
      </w:hyperlink>
      <w:r w:rsidR="00C4295D">
        <w:rPr>
          <w:rFonts w:ascii="Times New Roman" w:eastAsia="Times New Roman" w:hAnsi="Times New Roman" w:cs="Times New Roman"/>
          <w:sz w:val="28"/>
          <w:szCs w:val="28"/>
        </w:rPr>
        <w:t xml:space="preserve"> – збірник навчально-методичних розробок шкільних занять на основі віртуальної виставки та документального фільму</w:t>
      </w:r>
    </w:p>
    <w:p w14:paraId="00000045" w14:textId="77777777" w:rsidR="00C6337A" w:rsidRDefault="00952E5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 w:rsidR="00C429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Серія плакатів «Війна не робить винятків. Жіночі історії Другої світової»</w:t>
        </w:r>
      </w:hyperlink>
    </w:p>
    <w:p w14:paraId="00000046" w14:textId="55E3A29E" w:rsidR="00C6337A" w:rsidRPr="00854CA5" w:rsidRDefault="00C4295D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A5">
        <w:rPr>
          <w:rFonts w:ascii="Times New Roman" w:eastAsia="Times New Roman" w:hAnsi="Times New Roman" w:cs="Times New Roman"/>
          <w:sz w:val="28"/>
          <w:szCs w:val="28"/>
        </w:rPr>
        <w:t xml:space="preserve">За посиланням </w:t>
      </w:r>
      <w:hyperlink r:id="rId20">
        <w:r w:rsidRPr="00854CA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http://ww2.uinp.gov.ua/</w:t>
        </w:r>
      </w:hyperlink>
      <w:r w:rsidRPr="00854CA5">
        <w:rPr>
          <w:rFonts w:ascii="Times New Roman" w:eastAsia="Times New Roman" w:hAnsi="Times New Roman" w:cs="Times New Roman"/>
          <w:sz w:val="28"/>
          <w:szCs w:val="28"/>
        </w:rPr>
        <w:t xml:space="preserve"> діє сайт Українського інституту національної пам’яті, присвячений Другій світовій війні. </w:t>
      </w:r>
    </w:p>
    <w:sectPr w:rsidR="00C6337A" w:rsidRPr="00854CA5">
      <w:pgSz w:w="11906" w:h="16838"/>
      <w:pgMar w:top="850" w:right="1133" w:bottom="1391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8A31D" w14:textId="77777777" w:rsidR="00952E5C" w:rsidRDefault="00952E5C" w:rsidP="00A75726">
      <w:pPr>
        <w:spacing w:line="240" w:lineRule="auto"/>
      </w:pPr>
      <w:r>
        <w:separator/>
      </w:r>
    </w:p>
  </w:endnote>
  <w:endnote w:type="continuationSeparator" w:id="0">
    <w:p w14:paraId="21E03125" w14:textId="77777777" w:rsidR="00952E5C" w:rsidRDefault="00952E5C" w:rsidP="00A75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650EF" w14:textId="77777777" w:rsidR="00952E5C" w:rsidRDefault="00952E5C" w:rsidP="00A75726">
      <w:pPr>
        <w:spacing w:line="240" w:lineRule="auto"/>
      </w:pPr>
      <w:r>
        <w:separator/>
      </w:r>
    </w:p>
  </w:footnote>
  <w:footnote w:type="continuationSeparator" w:id="0">
    <w:p w14:paraId="551E5071" w14:textId="77777777" w:rsidR="00952E5C" w:rsidRDefault="00952E5C" w:rsidP="00A757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047B"/>
    <w:multiLevelType w:val="multilevel"/>
    <w:tmpl w:val="37EA6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7A"/>
    <w:rsid w:val="001C11BD"/>
    <w:rsid w:val="004878C6"/>
    <w:rsid w:val="005B5E63"/>
    <w:rsid w:val="00734060"/>
    <w:rsid w:val="00854CA5"/>
    <w:rsid w:val="00952E5C"/>
    <w:rsid w:val="00A75726"/>
    <w:rsid w:val="00C4295D"/>
    <w:rsid w:val="00C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55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75726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726"/>
  </w:style>
  <w:style w:type="paragraph" w:styleId="a7">
    <w:name w:val="footer"/>
    <w:basedOn w:val="a"/>
    <w:link w:val="a8"/>
    <w:uiPriority w:val="99"/>
    <w:unhideWhenUsed/>
    <w:rsid w:val="00A75726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75726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726"/>
  </w:style>
  <w:style w:type="paragraph" w:styleId="a7">
    <w:name w:val="footer"/>
    <w:basedOn w:val="a"/>
    <w:link w:val="a8"/>
    <w:uiPriority w:val="99"/>
    <w:unhideWhenUsed/>
    <w:rsid w:val="00A75726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np.gov.ua/informaciyni-materialy/vchytelyam/lystivky/ukrayina-v-roky-drugoyi-svitovoyi-viyny-1939-1945" TargetMode="External"/><Relationship Id="rId13" Type="http://schemas.openxmlformats.org/officeDocument/2006/relationships/hyperlink" Target="https://uinp.gov.ua/vystavkovi-proekty/vystavka-upa-vidpovid-neskorenogo-narodu" TargetMode="External"/><Relationship Id="rId18" Type="http://schemas.openxmlformats.org/officeDocument/2006/relationships/hyperlink" Target="https://uinp.gov.ua/elektronni-vydannya/babyn-yar-pamyat-na-tli-istoriy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inp.gov.ua/vystavkovi-proekty/vystavka-ukrayinska-druga-svitova" TargetMode="External"/><Relationship Id="rId17" Type="http://schemas.openxmlformats.org/officeDocument/2006/relationships/hyperlink" Target="https://www.youtube.com/watch?v=9iKJQbpY4ks&amp;list=PLitKIb_cEyqeiFCTaI-22OJlaye9RY-iE&amp;pp=gAQB" TargetMode="External"/><Relationship Id="rId2" Type="http://schemas.openxmlformats.org/officeDocument/2006/relationships/styles" Target="styles.xml"/><Relationship Id="rId16" Type="http://schemas.openxmlformats.org/officeDocument/2006/relationships/hyperlink" Target="https://uinp.gov.ua/elektronni-vydannya/knyga-viyna-i-mif-pro-drugu-svitovu-viynu-anglomovnyy-variant" TargetMode="External"/><Relationship Id="rId20" Type="http://schemas.openxmlformats.org/officeDocument/2006/relationships/hyperlink" Target="http://ww2.uinp.gov.u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inp.gov.ua/informaciyni-materialy/vchytelyam/videolekciyi/cykl-vchymo-istoriyu/za-shcho-borolasya-ukrayinska-povstanska-arm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np.gov.ua/elektronni-vydannya/ukrayina-u-drugiy-svitoviy-viyni" TargetMode="External"/><Relationship Id="rId10" Type="http://schemas.openxmlformats.org/officeDocument/2006/relationships/hyperlink" Target="https://uinp.gov.ua/informaciyni-materialy/vchytelyam/navchalni-igry/nastilna-gra-upa-vidpovid-neskorenogo-narodu" TargetMode="External"/><Relationship Id="rId19" Type="http://schemas.openxmlformats.org/officeDocument/2006/relationships/hyperlink" Target="https://uinp.gov.ua/pres-centr/novyny/viina-ne-robyt-vyniatkiv-zhinochi-istorii-druhoi-svitov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inp.gov.ua/informaciyni-materialy/vchytelyam/lystivky/ukrayina-v-roky-drugoyi-svitovoyi-viyny-1939-1945" TargetMode="External"/><Relationship Id="rId14" Type="http://schemas.openxmlformats.org/officeDocument/2006/relationships/hyperlink" Target="https://uinp.gov.ua/vystavkovi-proekty/vystavka-triumf-lyudyny-meshkanci-ukrayiny-yaki-proyshly-nacystski-konctabo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9457</Words>
  <Characters>5392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Олександр Отич, (0532) 502354</cp:lastModifiedBy>
  <cp:revision>5</cp:revision>
  <dcterms:created xsi:type="dcterms:W3CDTF">2023-04-28T10:51:00Z</dcterms:created>
  <dcterms:modified xsi:type="dcterms:W3CDTF">2023-05-01T06:21:00Z</dcterms:modified>
</cp:coreProperties>
</file>