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2A10FD35" w:rsidR="002403AF" w:rsidRDefault="00DE034C" w:rsidP="00D921DA">
      <w:pPr>
        <w:pStyle w:val="a7"/>
        <w:ind w:firstLine="0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</w:t>
      </w:r>
      <w:r w:rsidR="00D921DA">
        <w:rPr>
          <w:w w:val="200"/>
          <w:sz w:val="8"/>
          <w:lang w:val="uk-UA"/>
        </w:rPr>
        <w:t xml:space="preserve">                    </w:t>
      </w:r>
      <w:r>
        <w:rPr>
          <w:w w:val="200"/>
          <w:sz w:val="8"/>
          <w:lang w:val="uk-UA"/>
        </w:rPr>
        <w:t xml:space="preserve">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428BEAB5" w14:textId="77777777" w:rsidR="004F75FF" w:rsidRDefault="004F75FF" w:rsidP="004F75FF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пленарне засідання шістдесят восьмої</w:t>
      </w:r>
      <w:r w:rsidRPr="002C5C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позачергової </w:t>
      </w:r>
      <w:r w:rsidRPr="002C5CE9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  <w:r w:rsidRPr="002C5CE9">
        <w:rPr>
          <w:sz w:val="28"/>
          <w:szCs w:val="28"/>
          <w:lang w:val="uk-UA"/>
        </w:rPr>
        <w:t xml:space="preserve"> </w:t>
      </w:r>
    </w:p>
    <w:p w14:paraId="0CB80902" w14:textId="77777777" w:rsidR="004F75FF" w:rsidRDefault="004F75FF" w:rsidP="004F75FF">
      <w:pPr>
        <w:contextualSpacing/>
        <w:jc w:val="center"/>
        <w:rPr>
          <w:sz w:val="28"/>
          <w:szCs w:val="28"/>
          <w:lang w:val="uk-UA"/>
        </w:rPr>
      </w:pPr>
      <w:r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38B1C7A4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74A931DE" w:rsidR="009F39E8" w:rsidRPr="00971C31" w:rsidRDefault="004F75FF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25 </w:t>
      </w:r>
      <w:r w:rsidR="00B46675">
        <w:rPr>
          <w:color w:val="000000"/>
          <w:sz w:val="28"/>
          <w:szCs w:val="28"/>
          <w:lang w:val="uk-UA"/>
        </w:rPr>
        <w:t xml:space="preserve">квітня 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 w:rsidR="00A40947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3218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43E0BCB" w14:textId="3F9F06F2" w:rsidR="00105B78" w:rsidRPr="00105B78" w:rsidRDefault="00105B7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Внести зміни та доповнення до пункту 1.14 Розділу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«Дороги»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виклавши його в новій редакції</w:t>
      </w:r>
      <w:r w:rsidR="0028736E">
        <w:rPr>
          <w:sz w:val="28"/>
          <w:szCs w:val="28"/>
          <w:lang w:val="uk-UA"/>
        </w:rPr>
        <w:t xml:space="preserve"> (тис.грн.)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890"/>
        <w:gridCol w:w="1125"/>
        <w:gridCol w:w="284"/>
        <w:gridCol w:w="283"/>
        <w:gridCol w:w="284"/>
        <w:gridCol w:w="283"/>
        <w:gridCol w:w="284"/>
        <w:gridCol w:w="283"/>
        <w:gridCol w:w="284"/>
        <w:gridCol w:w="283"/>
        <w:gridCol w:w="314"/>
        <w:gridCol w:w="445"/>
        <w:gridCol w:w="445"/>
        <w:gridCol w:w="297"/>
        <w:gridCol w:w="296"/>
        <w:gridCol w:w="297"/>
        <w:gridCol w:w="741"/>
      </w:tblGrid>
      <w:tr w:rsidR="00D21285" w:rsidRPr="000417EB" w14:paraId="7198AC46" w14:textId="77777777" w:rsidTr="0028736E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F505586" w14:textId="6BD5DEDA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7EDC34E" w14:textId="034E2230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10500,0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76A6812" w14:textId="7FB2CB9A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10500,0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274120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FA2025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B01C22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342563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88B030F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80123DB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EC9397C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8AF3B58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58444A8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7E4AC8E1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6095681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F484297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22F8FBF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5AA53A6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 w:val="restart"/>
            <w:shd w:val="clear" w:color="auto" w:fill="auto"/>
            <w:textDirection w:val="btLr"/>
            <w:vAlign w:val="center"/>
          </w:tcPr>
          <w:p w14:paraId="3257E92A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D21285" w:rsidRPr="000417EB" w14:paraId="05D4DC74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8288776" w14:textId="4AB48897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м. Хорол – с. Мусіївка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5E1974E" w14:textId="1EA91518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A765238" w14:textId="553E3EB0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3D01BE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788FDF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7341A2E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4DD2B16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3CA8C56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C76928F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BE1778D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3B442F3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5793F50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77ED480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7AB16D4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997A52C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39A860E0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B994DB1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3462A63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1285" w:rsidRPr="000417EB" w14:paraId="14956D49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3A24BCE" w14:textId="216110BB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Кривці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7442E863" w14:textId="079494B9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5DA13E7" w14:textId="29207F89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A3A5B29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C8105C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5285272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EF9BA8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133575E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9AB9B19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69E1EE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40D24C1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747C9EB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81A12FE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574CD9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F2C11FA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8BA6216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151BDA9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7E5C3CE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1285" w:rsidRPr="000417EB" w14:paraId="74A1166D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DF5625B" w14:textId="4D1D41EA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 .Бригадирівка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9CB28F5" w14:textId="6F0CA9FE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1EF080E" w14:textId="4383397F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15051B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71DF1D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2890A38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59C00A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429143A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6F9D1AE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8EDED87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ABE54D9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2C9C586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1AB8477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C059A74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3E032A15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724E95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E3D73A3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689EEF6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1285" w:rsidRPr="000417EB" w14:paraId="62EA5780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C893768" w14:textId="76767ACE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м .Хорол – с. Вишняки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71F879F" w14:textId="4DDD5AEB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FA29563" w14:textId="0F4EFF3C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B49BA67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680C72E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565E74F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679300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D7F1D8D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09D66B1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795E2F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1EE84C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64C2806D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C5C71E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274847F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B0BB143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9C28DE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D888BD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502AE6C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1285" w:rsidRPr="000417EB" w14:paraId="07CE4048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628C2FC5" w14:textId="35643A2D" w:rsidR="00460A6B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</w:t>
            </w:r>
            <w:r w:rsidR="00460A6B">
              <w:rPr>
                <w:bCs/>
                <w:lang w:val="uk-UA"/>
              </w:rPr>
              <w:t xml:space="preserve"> Староаврамівка –    с.</w:t>
            </w:r>
            <w:r w:rsidRPr="00D21285">
              <w:rPr>
                <w:bCs/>
                <w:lang w:val="uk-UA"/>
              </w:rPr>
              <w:t xml:space="preserve"> Шишаки – </w:t>
            </w:r>
            <w:r w:rsidR="00460A6B">
              <w:rPr>
                <w:bCs/>
                <w:lang w:val="uk-UA"/>
              </w:rPr>
              <w:t xml:space="preserve">       </w:t>
            </w:r>
          </w:p>
          <w:p w14:paraId="3EC8269E" w14:textId="722DCFDC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Іващенки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F7E46C7" w14:textId="45B5DF57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A6E0FCB" w14:textId="3A1C2CE2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60ADDE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FB16A8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A1125C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4A1968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BD7748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B95F074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236702E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D7A469C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56F3CDD4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22C11DC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FB60893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573DF93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954BAA9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28997F8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397F63C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1285" w:rsidRPr="000417EB" w14:paraId="127C8A46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08A92EE2" w14:textId="306CB5F0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Вишневе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5D783DFC" w14:textId="717C274C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8EEDAFD" w14:textId="094DE192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541213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462789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0679B4C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BD74FF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C3E31EE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0E4264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315C261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4CEEB18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11DA1C2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D33F22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B29C2E9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C272A08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75843006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B333C14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2794CCAB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21285" w:rsidRPr="000417EB" w14:paraId="14B9085E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516A085" w14:textId="77C8A0D5" w:rsidR="00D21285" w:rsidRPr="00D21285" w:rsidRDefault="00D21285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Ставки – с. Коломійцеве Озеро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018ED2D" w14:textId="0B1E1769" w:rsidR="00D21285" w:rsidRPr="00D21285" w:rsidRDefault="00D2128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74FAF8B" w14:textId="173D943D" w:rsidR="00D21285" w:rsidRPr="00D21285" w:rsidRDefault="00D21285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70E12F4" w14:textId="77777777" w:rsidR="00D21285" w:rsidRPr="00D21285" w:rsidRDefault="00D21285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FA01F8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F2A4D15" w14:textId="77777777" w:rsidR="00D21285" w:rsidRPr="00D21285" w:rsidRDefault="00D21285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DBC4C4" w14:textId="77777777" w:rsidR="00D21285" w:rsidRPr="00D21285" w:rsidRDefault="00D21285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E187E80" w14:textId="77777777" w:rsidR="00D21285" w:rsidRPr="00D21285" w:rsidRDefault="00D21285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B9D288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FCEAA09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65DF436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D6E8664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26B52C" w14:textId="77777777" w:rsidR="00D21285" w:rsidRPr="00D21285" w:rsidRDefault="00D21285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C0122CA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2A07600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0DBB6F1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8060655" w14:textId="77777777" w:rsidR="00D21285" w:rsidRPr="00D21285" w:rsidRDefault="00D21285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A2DA900" w14:textId="77777777" w:rsidR="00D21285" w:rsidRPr="00D21285" w:rsidRDefault="00D21285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4C9645B7" w14:textId="00DDB889" w:rsidR="00D21285" w:rsidRDefault="00105B78" w:rsidP="00C04841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974B4">
        <w:rPr>
          <w:sz w:val="28"/>
          <w:szCs w:val="28"/>
          <w:lang w:val="uk-UA"/>
        </w:rPr>
        <w:t>.</w:t>
      </w:r>
      <w:r w:rsidR="0070216D">
        <w:rPr>
          <w:sz w:val="28"/>
          <w:szCs w:val="28"/>
          <w:lang w:val="uk-UA"/>
        </w:rPr>
        <w:t xml:space="preserve"> Доповнити Розділ </w:t>
      </w:r>
      <w:r w:rsidR="0070216D">
        <w:rPr>
          <w:sz w:val="28"/>
          <w:szCs w:val="28"/>
          <w:lang w:val="en-US"/>
        </w:rPr>
        <w:t>I</w:t>
      </w:r>
      <w:r w:rsidR="0070216D">
        <w:rPr>
          <w:sz w:val="28"/>
          <w:szCs w:val="28"/>
          <w:lang w:val="uk-UA"/>
        </w:rPr>
        <w:t>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пункт</w:t>
      </w:r>
      <w:r w:rsidR="00B46675">
        <w:rPr>
          <w:sz w:val="28"/>
          <w:szCs w:val="28"/>
          <w:lang w:val="uk-UA"/>
        </w:rPr>
        <w:t>ом 7</w:t>
      </w:r>
      <w:r w:rsidR="00C04841">
        <w:rPr>
          <w:sz w:val="28"/>
          <w:szCs w:val="28"/>
          <w:lang w:val="uk-UA"/>
        </w:rPr>
        <w:t xml:space="preserve"> </w:t>
      </w:r>
      <w:r w:rsidR="00D21285">
        <w:rPr>
          <w:sz w:val="28"/>
          <w:szCs w:val="28"/>
          <w:lang w:val="uk-UA"/>
        </w:rPr>
        <w:t>–</w:t>
      </w:r>
      <w:r w:rsidR="00C04841">
        <w:rPr>
          <w:sz w:val="28"/>
          <w:szCs w:val="28"/>
          <w:lang w:val="uk-UA"/>
        </w:rPr>
        <w:t xml:space="preserve"> 14</w:t>
      </w:r>
    </w:p>
    <w:p w14:paraId="0A28FCF6" w14:textId="77777777" w:rsidR="00D21285" w:rsidRDefault="00D21285" w:rsidP="00C04841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</w:p>
    <w:p w14:paraId="1A15A1A2" w14:textId="77777777" w:rsidR="00D21285" w:rsidRDefault="00D21285" w:rsidP="00C04841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</w:p>
    <w:p w14:paraId="25CA72CF" w14:textId="617D2C34" w:rsidR="0070216D" w:rsidRPr="0028736E" w:rsidRDefault="0070216D" w:rsidP="0028736E">
      <w:pPr>
        <w:tabs>
          <w:tab w:val="left" w:pos="0"/>
        </w:tabs>
        <w:spacing w:before="240"/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 w:rsidR="000417E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28736E">
        <w:rPr>
          <w:sz w:val="28"/>
          <w:szCs w:val="28"/>
          <w:lang w:val="uk-UA"/>
        </w:rPr>
        <w:t>(тис.грн)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851"/>
        <w:gridCol w:w="99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425"/>
        <w:gridCol w:w="284"/>
        <w:gridCol w:w="283"/>
        <w:gridCol w:w="284"/>
        <w:gridCol w:w="708"/>
      </w:tblGrid>
      <w:tr w:rsidR="0070216D" w:rsidRPr="00D21285" w14:paraId="23C70C1F" w14:textId="77777777" w:rsidTr="00D21285">
        <w:trPr>
          <w:trHeight w:val="355"/>
        </w:trPr>
        <w:tc>
          <w:tcPr>
            <w:tcW w:w="426" w:type="dxa"/>
            <w:shd w:val="clear" w:color="auto" w:fill="auto"/>
            <w:vAlign w:val="center"/>
          </w:tcPr>
          <w:p w14:paraId="62A339FA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bookmarkStart w:id="0" w:name="_Hlk183433449"/>
            <w:r w:rsidRPr="00D21285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F4104D" w14:textId="77777777" w:rsidR="0070216D" w:rsidRPr="00D21285" w:rsidRDefault="0070216D" w:rsidP="00E22706">
            <w:pPr>
              <w:jc w:val="center"/>
              <w:rPr>
                <w:lang w:val="uk-UA"/>
              </w:rPr>
            </w:pPr>
            <w:r w:rsidRPr="00D21285">
              <w:rPr>
                <w:lang w:val="uk-UA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2223B3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C0800A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BFCDCC5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EAE42F0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4AD511" w14:textId="77777777" w:rsidR="0070216D" w:rsidRPr="00D21285" w:rsidRDefault="0070216D" w:rsidP="00E22706">
            <w:pPr>
              <w:jc w:val="both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DCCBF7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896D97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F3E0FCB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AF0EC10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11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79CEB77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A022346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10159C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19F211" w14:textId="77777777" w:rsidR="0070216D" w:rsidRPr="00D21285" w:rsidRDefault="0070216D" w:rsidP="00E22706">
            <w:pPr>
              <w:ind w:left="-276" w:right="-3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9683B56" w14:textId="77777777" w:rsidR="0070216D" w:rsidRPr="00D21285" w:rsidRDefault="0070216D" w:rsidP="00E22706">
            <w:pPr>
              <w:ind w:left="-108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EB91ED2" w14:textId="77777777" w:rsidR="0070216D" w:rsidRPr="00D21285" w:rsidRDefault="0070216D" w:rsidP="00E22706">
            <w:pPr>
              <w:ind w:left="-108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EE02A31" w14:textId="77777777" w:rsidR="0070216D" w:rsidRPr="00D21285" w:rsidRDefault="0070216D" w:rsidP="00E22706">
            <w:pPr>
              <w:ind w:left="-108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BF73B7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19</w:t>
            </w:r>
          </w:p>
        </w:tc>
      </w:tr>
      <w:tr w:rsidR="0070216D" w:rsidRPr="00D21285" w14:paraId="01B5DA36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2628D688" w14:textId="00F04ED4" w:rsidR="0070216D" w:rsidRPr="00D21285" w:rsidRDefault="00B46675" w:rsidP="00E22706">
            <w:pPr>
              <w:ind w:left="-276" w:right="-308"/>
              <w:jc w:val="center"/>
              <w:rPr>
                <w:bCs/>
                <w:color w:val="000000"/>
                <w:lang w:val="uk-UA"/>
              </w:rPr>
            </w:pPr>
            <w:bookmarkStart w:id="1" w:name="_Hlk196230590"/>
            <w:bookmarkStart w:id="2" w:name="_Hlk193114216"/>
            <w:bookmarkEnd w:id="0"/>
            <w:r w:rsidRPr="00D21285"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07BAEE03" w14:textId="19DADED3" w:rsidR="0070216D" w:rsidRPr="00D21285" w:rsidRDefault="00C04841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Послуги  з обстеження та розробки зведеного кошторису для робіт по поточному (ямковому) ремонту проїзної частини по вул. Гоголя на ділянці від вул. Михайла Полонського в м. Хорол Лубенського району Полтавської області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498AF6" w14:textId="27D1E30C" w:rsidR="0070216D" w:rsidRPr="00D21285" w:rsidRDefault="00C04841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43,0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64B6BE" w14:textId="1AE6EAFE" w:rsidR="0070216D" w:rsidRPr="00D21285" w:rsidRDefault="00C04841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43,0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3C3536B" w14:textId="77777777" w:rsidR="0070216D" w:rsidRPr="00D21285" w:rsidRDefault="0070216D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63F2C7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065C45D" w14:textId="77777777" w:rsidR="0070216D" w:rsidRPr="00D21285" w:rsidRDefault="0070216D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B2AF83A" w14:textId="77777777" w:rsidR="0070216D" w:rsidRPr="00D21285" w:rsidRDefault="0070216D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81BE1B" w14:textId="77777777" w:rsidR="0070216D" w:rsidRPr="00D21285" w:rsidRDefault="0070216D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E670786" w14:textId="77777777" w:rsidR="0070216D" w:rsidRPr="00D21285" w:rsidRDefault="0070216D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9860DF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DC8FF89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3001145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4A3707D" w14:textId="77777777" w:rsidR="0070216D" w:rsidRPr="00D21285" w:rsidRDefault="0070216D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D1F3EE1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2BC24EA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6E1036B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14CF49E" w14:textId="77777777" w:rsidR="0070216D" w:rsidRPr="00D21285" w:rsidRDefault="0070216D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511595" w14:textId="77777777" w:rsidR="0070216D" w:rsidRPr="00D21285" w:rsidRDefault="0070216D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  <w:tr w:rsidR="00C04841" w:rsidRPr="00D21285" w14:paraId="6F0811DE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6A5738DA" w14:textId="23A265DD" w:rsidR="00C04841" w:rsidRPr="00D21285" w:rsidRDefault="00C04841" w:rsidP="00E22706">
            <w:pPr>
              <w:ind w:left="-276" w:right="-3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14:paraId="5416A7D9" w14:textId="77777777" w:rsidR="00C04841" w:rsidRPr="00D21285" w:rsidRDefault="00C04841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 xml:space="preserve">Капітальний ремонт фасаду та облаштування вимощення адміністративного приміщення Хорольської міської ради за адресою вул.Соборності,4 в </w:t>
            </w:r>
          </w:p>
          <w:p w14:paraId="2F2CEFC5" w14:textId="1582C044" w:rsidR="00C04841" w:rsidRPr="00D21285" w:rsidRDefault="00C04841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м. Хорол Лубенського району Полтавської області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F7139C" w14:textId="0FDA7B20" w:rsidR="00C04841" w:rsidRPr="00D21285" w:rsidRDefault="00C04841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B8269B" w14:textId="378F74DB" w:rsidR="00C04841" w:rsidRPr="00D21285" w:rsidRDefault="00C04841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1500,0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1ADE778" w14:textId="77777777" w:rsidR="00C04841" w:rsidRPr="00D21285" w:rsidRDefault="00C04841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95B44C" w14:textId="77777777" w:rsidR="00C04841" w:rsidRPr="00D21285" w:rsidRDefault="00C04841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53288F3" w14:textId="77777777" w:rsidR="00C04841" w:rsidRPr="00D21285" w:rsidRDefault="00C04841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EBC94BC" w14:textId="77777777" w:rsidR="00C04841" w:rsidRPr="00D21285" w:rsidRDefault="00C04841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3A2F4EB" w14:textId="77777777" w:rsidR="00C04841" w:rsidRPr="00D21285" w:rsidRDefault="00C04841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9AC8B1" w14:textId="77777777" w:rsidR="00C04841" w:rsidRPr="00D21285" w:rsidRDefault="00C04841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1208AB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CE33DD9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4C86A60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7A5B5B9" w14:textId="77777777" w:rsidR="00C04841" w:rsidRPr="00D21285" w:rsidRDefault="00C04841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B3953AD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14BC2AF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27854D7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D5BAED2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714E971C" w14:textId="3C80F569" w:rsidR="00C04841" w:rsidRPr="00D21285" w:rsidRDefault="00C0484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C04841" w:rsidRPr="00D21285" w14:paraId="13F9CD8C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38972D95" w14:textId="77777777" w:rsidR="00C04841" w:rsidRPr="00D21285" w:rsidRDefault="00C04841" w:rsidP="00C04841">
            <w:pPr>
              <w:ind w:left="-276" w:right="-308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9</w:t>
            </w:r>
          </w:p>
          <w:p w14:paraId="4399C433" w14:textId="1ABC8F70" w:rsidR="00CB2676" w:rsidRPr="00D21285" w:rsidRDefault="00CB2676" w:rsidP="00CB2676">
            <w:pPr>
              <w:rPr>
                <w:lang w:val="uk-UA"/>
              </w:rPr>
            </w:pPr>
            <w:r w:rsidRPr="00D21285">
              <w:rPr>
                <w:lang w:val="uk-UA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1E522D36" w14:textId="77777777" w:rsidR="00C04841" w:rsidRPr="00D21285" w:rsidRDefault="00C04841" w:rsidP="00E22706">
            <w:pPr>
              <w:ind w:left="-19"/>
              <w:jc w:val="both"/>
              <w:rPr>
                <w:bCs/>
                <w:lang w:val="uk-UA"/>
              </w:rPr>
            </w:pPr>
          </w:p>
          <w:p w14:paraId="7D08A075" w14:textId="3B9C5B3D" w:rsidR="00C04841" w:rsidRPr="00D21285" w:rsidRDefault="00C04841" w:rsidP="00C04841">
            <w:pPr>
              <w:rPr>
                <w:lang w:val="uk-UA"/>
              </w:rPr>
            </w:pPr>
            <w:r w:rsidRPr="00D21285">
              <w:rPr>
                <w:lang w:val="uk-UA"/>
              </w:rPr>
              <w:t>Розробка проєктно – кошторисної документації та експертизи на «Капітальний ремонт підвальних приміщень, які планується до використання для укриття населення (най</w:t>
            </w:r>
            <w:r w:rsidR="00CB2676" w:rsidRPr="00D21285">
              <w:rPr>
                <w:lang w:val="uk-UA"/>
              </w:rPr>
              <w:t>простіше укриття) по вул. Шевченка, 10А в с. Вишняки Лубенського району Полтавської області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0090BB" w14:textId="35C70442" w:rsidR="00C04841" w:rsidRPr="00D21285" w:rsidRDefault="00CB2676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BD22E2" w14:textId="27BEE955" w:rsidR="00C04841" w:rsidRPr="00D21285" w:rsidRDefault="00CB2676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98,0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9F026D8" w14:textId="77777777" w:rsidR="00C04841" w:rsidRPr="00D21285" w:rsidRDefault="00C04841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D0F1824" w14:textId="77777777" w:rsidR="00C04841" w:rsidRPr="00D21285" w:rsidRDefault="00C04841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71DF798" w14:textId="77777777" w:rsidR="00C04841" w:rsidRPr="00D21285" w:rsidRDefault="00C04841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B045E2" w14:textId="77777777" w:rsidR="00C04841" w:rsidRPr="00D21285" w:rsidRDefault="00C04841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C75A367" w14:textId="77777777" w:rsidR="00C04841" w:rsidRPr="00D21285" w:rsidRDefault="00C04841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80A7805" w14:textId="77777777" w:rsidR="00C04841" w:rsidRPr="00D21285" w:rsidRDefault="00C04841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4AB03E1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FC07AB8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630D696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AA50824" w14:textId="77777777" w:rsidR="00C04841" w:rsidRPr="00D21285" w:rsidRDefault="00C04841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8362A23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0FB717C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3D63AF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3260EEA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6616CE6B" w14:textId="1523390C" w:rsidR="00C04841" w:rsidRPr="00D21285" w:rsidRDefault="00C04841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C04841" w:rsidRPr="00D21285" w14:paraId="2DCD4DAD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5E497848" w14:textId="50601EC7" w:rsidR="00C04841" w:rsidRPr="00D21285" w:rsidRDefault="00CB2676" w:rsidP="00C04841">
            <w:pPr>
              <w:ind w:left="-276" w:right="-308"/>
              <w:rPr>
                <w:bCs/>
                <w:color w:val="000000"/>
                <w:lang w:val="uk-UA"/>
              </w:rPr>
            </w:pPr>
            <w:r w:rsidRPr="00D21285">
              <w:rPr>
                <w:lang w:val="uk-UA"/>
              </w:rPr>
              <w:t>9 10</w:t>
            </w:r>
          </w:p>
        </w:tc>
        <w:tc>
          <w:tcPr>
            <w:tcW w:w="2409" w:type="dxa"/>
            <w:shd w:val="clear" w:color="auto" w:fill="auto"/>
          </w:tcPr>
          <w:p w14:paraId="43984F7A" w14:textId="65B3769F" w:rsidR="00C04841" w:rsidRPr="00D21285" w:rsidRDefault="00CB2676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Встановлення двох громадських вбиралень (центр міста, Ботанічний сад) м. Хорол Лубенського району Полтавської області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2DD5AF" w14:textId="6A147E8E" w:rsidR="00C04841" w:rsidRPr="00D21285" w:rsidRDefault="00CB2676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6B76AA" w14:textId="2251B253" w:rsidR="00C04841" w:rsidRPr="00D21285" w:rsidRDefault="00CB2676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300,0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7B4144C" w14:textId="77777777" w:rsidR="00C04841" w:rsidRPr="00D21285" w:rsidRDefault="00C04841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27B9ED2" w14:textId="77777777" w:rsidR="00C04841" w:rsidRPr="00D21285" w:rsidRDefault="00C04841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B88B7C1" w14:textId="77777777" w:rsidR="00C04841" w:rsidRPr="00D21285" w:rsidRDefault="00C04841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6FE3C4E" w14:textId="77777777" w:rsidR="00C04841" w:rsidRPr="00D21285" w:rsidRDefault="00C04841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25C6A54" w14:textId="77777777" w:rsidR="00C04841" w:rsidRPr="00D21285" w:rsidRDefault="00C04841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E680B3B" w14:textId="77777777" w:rsidR="00C04841" w:rsidRPr="00D21285" w:rsidRDefault="00C04841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883B3DE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F9838E5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DCB7C97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227766B4" w14:textId="77777777" w:rsidR="00C04841" w:rsidRPr="00D21285" w:rsidRDefault="00C04841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9ABC38F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D7A1952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02A267F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C13A975" w14:textId="77777777" w:rsidR="00C04841" w:rsidRPr="00D21285" w:rsidRDefault="00C04841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0958C6BF" w14:textId="41BF6335" w:rsidR="00C04841" w:rsidRPr="00D21285" w:rsidRDefault="00CB2676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CB2676" w:rsidRPr="00D21285" w14:paraId="4F37B7D6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6E1B5B78" w14:textId="4316CFC1" w:rsidR="00CB2676" w:rsidRPr="00D21285" w:rsidRDefault="00CB2676" w:rsidP="00C04841">
            <w:pPr>
              <w:ind w:left="-276" w:right="-308"/>
              <w:rPr>
                <w:bCs/>
                <w:color w:val="000000"/>
                <w:lang w:val="uk-UA"/>
              </w:rPr>
            </w:pPr>
            <w:r w:rsidRPr="00D21285">
              <w:rPr>
                <w:lang w:val="uk-UA"/>
              </w:rPr>
              <w:lastRenderedPageBreak/>
              <w:t>9</w:t>
            </w:r>
            <w:r w:rsidR="00D21285">
              <w:rPr>
                <w:lang w:val="uk-UA"/>
              </w:rPr>
              <w:t xml:space="preserve"> </w:t>
            </w:r>
            <w:r w:rsidRPr="00D21285">
              <w:rPr>
                <w:lang w:val="uk-UA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2A90EBA1" w14:textId="3A011D20" w:rsidR="00CB2676" w:rsidRPr="00D21285" w:rsidRDefault="00CB2676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Встановлення бетонної огорожі для розширення Алеї Слави на центральному кладовищі м. Хорол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AC3BA9" w14:textId="7F2BC062" w:rsidR="00CB2676" w:rsidRPr="00D21285" w:rsidRDefault="00CB2676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97067" w14:textId="50259339" w:rsidR="00CB2676" w:rsidRPr="00D21285" w:rsidRDefault="00CB2676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500,0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3D9E721" w14:textId="77777777" w:rsidR="00CB2676" w:rsidRPr="00D21285" w:rsidRDefault="00CB2676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98489F2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CACE227" w14:textId="77777777" w:rsidR="00CB2676" w:rsidRPr="00D21285" w:rsidRDefault="00CB2676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F6CD8D2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DC6C449" w14:textId="77777777" w:rsidR="00CB2676" w:rsidRPr="00D21285" w:rsidRDefault="00CB2676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D64EFBF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44E5A4F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CEB866E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290FBDB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F1AEEDA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74A096B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E58412F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C996E5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2AE9B8B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6F9200DB" w14:textId="40A2A593" w:rsidR="00CB2676" w:rsidRPr="00D21285" w:rsidRDefault="00CB2676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CB2676" w:rsidRPr="00D21285" w14:paraId="55386819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72775B9F" w14:textId="23E3FCF5" w:rsidR="00CB2676" w:rsidRPr="00D21285" w:rsidRDefault="00CB2676" w:rsidP="00C04841">
            <w:pPr>
              <w:ind w:left="-276" w:right="-308"/>
              <w:rPr>
                <w:lang w:val="uk-UA"/>
              </w:rPr>
            </w:pPr>
            <w:r w:rsidRPr="00D21285">
              <w:rPr>
                <w:lang w:val="uk-UA"/>
              </w:rPr>
              <w:t>1</w:t>
            </w:r>
            <w:r w:rsidR="00D21285">
              <w:rPr>
                <w:lang w:val="uk-UA"/>
              </w:rPr>
              <w:t xml:space="preserve"> </w:t>
            </w:r>
            <w:r w:rsidRPr="00D21285">
              <w:rPr>
                <w:lang w:val="uk-UA"/>
              </w:rPr>
              <w:t xml:space="preserve"> 12</w:t>
            </w:r>
          </w:p>
        </w:tc>
        <w:tc>
          <w:tcPr>
            <w:tcW w:w="2409" w:type="dxa"/>
            <w:shd w:val="clear" w:color="auto" w:fill="auto"/>
          </w:tcPr>
          <w:p w14:paraId="6802E596" w14:textId="010D189B" w:rsidR="00CB2676" w:rsidRPr="00D21285" w:rsidRDefault="00CB2676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Щебеніння проїзної частини по вул. Остапа Вишні в м. Хорол Лубенського району Полтавської області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2E8B06" w14:textId="04B061DA" w:rsidR="00CB2676" w:rsidRPr="00D21285" w:rsidRDefault="00CB2676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9855B8" w14:textId="27F82D6A" w:rsidR="00CB2676" w:rsidRPr="00D21285" w:rsidRDefault="00CB2676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140,0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51D6D4E" w14:textId="77777777" w:rsidR="00CB2676" w:rsidRPr="00D21285" w:rsidRDefault="00CB2676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4F70DAC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4D44C23" w14:textId="77777777" w:rsidR="00CB2676" w:rsidRPr="00D21285" w:rsidRDefault="00CB2676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F79AD96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A05294A" w14:textId="77777777" w:rsidR="00CB2676" w:rsidRPr="00D21285" w:rsidRDefault="00CB2676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30DAE8A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EED8F84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A79B50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AFE2D2B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417B40C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6C62F9A3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C0FD4C8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662CC27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73EE9A8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396A4AD" w14:textId="2A75FEB6" w:rsidR="00CB2676" w:rsidRPr="00D21285" w:rsidRDefault="00CB2676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CB2676" w:rsidRPr="00D21285" w14:paraId="59FBAC61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3E59F55C" w14:textId="7C6C0DA1" w:rsidR="00CB2676" w:rsidRPr="00D21285" w:rsidRDefault="00CB2676" w:rsidP="00C04841">
            <w:pPr>
              <w:ind w:left="-276" w:right="-308"/>
              <w:rPr>
                <w:lang w:val="uk-UA"/>
              </w:rPr>
            </w:pPr>
            <w:r w:rsidRPr="00D21285">
              <w:rPr>
                <w:lang w:val="uk-UA"/>
              </w:rPr>
              <w:t>1 13</w:t>
            </w:r>
          </w:p>
        </w:tc>
        <w:tc>
          <w:tcPr>
            <w:tcW w:w="2409" w:type="dxa"/>
            <w:shd w:val="clear" w:color="auto" w:fill="auto"/>
          </w:tcPr>
          <w:p w14:paraId="5F3EF4C1" w14:textId="77777777" w:rsidR="00CB2676" w:rsidRPr="00D21285" w:rsidRDefault="00CB2676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 xml:space="preserve">Придбання двох твердопаливних котлів </w:t>
            </w:r>
          </w:p>
          <w:p w14:paraId="1C269607" w14:textId="64AAE47C" w:rsidR="006A2567" w:rsidRPr="00D21285" w:rsidRDefault="006A2567" w:rsidP="00E22706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en-US"/>
              </w:rPr>
              <w:t>ALTEP</w:t>
            </w:r>
            <w:r w:rsidRPr="00D21285">
              <w:rPr>
                <w:bCs/>
                <w:lang w:val="uk-UA"/>
              </w:rPr>
              <w:t xml:space="preserve"> </w:t>
            </w:r>
            <w:r w:rsidRPr="00D21285">
              <w:rPr>
                <w:bCs/>
                <w:lang w:val="en-US"/>
              </w:rPr>
              <w:t>DUO</w:t>
            </w:r>
            <w:r w:rsidRPr="00D21285">
              <w:rPr>
                <w:bCs/>
                <w:lang w:val="uk-UA"/>
              </w:rPr>
              <w:t xml:space="preserve"> </w:t>
            </w:r>
            <w:r w:rsidRPr="00D21285">
              <w:rPr>
                <w:bCs/>
                <w:lang w:val="en-US"/>
              </w:rPr>
              <w:t>Plus</w:t>
            </w:r>
            <w:r w:rsidRPr="00D21285">
              <w:rPr>
                <w:bCs/>
                <w:lang w:val="uk-UA"/>
              </w:rPr>
              <w:t xml:space="preserve"> (62кВт)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564896" w14:textId="3C16B63C" w:rsidR="00CB2676" w:rsidRPr="00D21285" w:rsidRDefault="006A2567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191,8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2B6540" w14:textId="156A69C9" w:rsidR="00CB2676" w:rsidRPr="00D21285" w:rsidRDefault="006A2567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191,8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7D84263" w14:textId="77777777" w:rsidR="00CB2676" w:rsidRPr="00D21285" w:rsidRDefault="00CB2676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778670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A6D528D" w14:textId="77777777" w:rsidR="00CB2676" w:rsidRPr="00D21285" w:rsidRDefault="00CB2676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F04B93A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3429CEB" w14:textId="77777777" w:rsidR="00CB2676" w:rsidRPr="00D21285" w:rsidRDefault="00CB2676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D8ABBB6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E5014DF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13DB49B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746996B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0A78620F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4756982A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0185E5E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1E9378F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0522A6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5F0EE889" w14:textId="0833193B" w:rsidR="00CB2676" w:rsidRPr="00D21285" w:rsidRDefault="00CB2676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CB2676" w:rsidRPr="00D21285" w14:paraId="12FDA10E" w14:textId="77777777" w:rsidTr="00D21285">
        <w:trPr>
          <w:cantSplit/>
          <w:trHeight w:val="1106"/>
        </w:trPr>
        <w:tc>
          <w:tcPr>
            <w:tcW w:w="426" w:type="dxa"/>
            <w:shd w:val="clear" w:color="auto" w:fill="auto"/>
            <w:vAlign w:val="center"/>
          </w:tcPr>
          <w:p w14:paraId="5175B9A6" w14:textId="27EE6507" w:rsidR="00CB2676" w:rsidRPr="00D21285" w:rsidRDefault="006A2567" w:rsidP="00C04841">
            <w:pPr>
              <w:ind w:left="-276" w:right="-308"/>
              <w:rPr>
                <w:lang w:val="uk-UA"/>
              </w:rPr>
            </w:pPr>
            <w:r w:rsidRPr="00D21285">
              <w:rPr>
                <w:lang w:val="uk-UA"/>
              </w:rPr>
              <w:t>1</w:t>
            </w:r>
            <w:r w:rsidR="00D21285">
              <w:rPr>
                <w:lang w:val="uk-UA"/>
              </w:rPr>
              <w:t xml:space="preserve"> </w:t>
            </w:r>
            <w:r w:rsidRPr="00D21285">
              <w:rPr>
                <w:lang w:val="uk-UA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14:paraId="40101829" w14:textId="5B1A446C" w:rsidR="006A2567" w:rsidRPr="00D21285" w:rsidRDefault="006A2567" w:rsidP="006A2567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Придбання  твердопаливного котла</w:t>
            </w:r>
          </w:p>
          <w:p w14:paraId="2C5FFEBB" w14:textId="0E8DDBAE" w:rsidR="00CB2676" w:rsidRPr="00D21285" w:rsidRDefault="006A2567" w:rsidP="006A2567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en-US"/>
              </w:rPr>
              <w:t>ALTEP</w:t>
            </w:r>
            <w:r w:rsidRPr="00D21285">
              <w:rPr>
                <w:bCs/>
                <w:lang w:val="uk-UA"/>
              </w:rPr>
              <w:t xml:space="preserve"> </w:t>
            </w:r>
            <w:r w:rsidRPr="00D21285">
              <w:rPr>
                <w:bCs/>
                <w:lang w:val="en-US"/>
              </w:rPr>
              <w:t>DUO</w:t>
            </w:r>
            <w:r w:rsidRPr="00D21285">
              <w:rPr>
                <w:bCs/>
                <w:lang w:val="uk-UA"/>
              </w:rPr>
              <w:t xml:space="preserve"> </w:t>
            </w:r>
            <w:r w:rsidRPr="00D21285">
              <w:rPr>
                <w:bCs/>
                <w:lang w:val="en-US"/>
              </w:rPr>
              <w:t>Plus</w:t>
            </w:r>
            <w:r w:rsidRPr="00D21285">
              <w:rPr>
                <w:bCs/>
                <w:lang w:val="uk-UA"/>
              </w:rPr>
              <w:t xml:space="preserve"> (25кВт)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BC1536" w14:textId="40A08C34" w:rsidR="00CB2676" w:rsidRPr="00D21285" w:rsidRDefault="006A2567" w:rsidP="00E22706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53,9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86AB2F" w14:textId="457ECD85" w:rsidR="00CB2676" w:rsidRPr="00D21285" w:rsidRDefault="006A2567" w:rsidP="00C0484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53,9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C61F993" w14:textId="77777777" w:rsidR="00CB2676" w:rsidRPr="00D21285" w:rsidRDefault="00CB2676" w:rsidP="00E22706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5B04B87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74E4CB1" w14:textId="77777777" w:rsidR="00CB2676" w:rsidRPr="00D21285" w:rsidRDefault="00CB2676" w:rsidP="00E22706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E0E331" w14:textId="77777777" w:rsidR="00CB2676" w:rsidRPr="00D21285" w:rsidRDefault="00CB2676" w:rsidP="00E22706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B788DD1" w14:textId="77777777" w:rsidR="00CB2676" w:rsidRPr="00D21285" w:rsidRDefault="00CB2676" w:rsidP="00E2270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AE55B8C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BF5F4C8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5BC7E4A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B45AA5C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5AA55E37" w14:textId="77777777" w:rsidR="00CB2676" w:rsidRPr="00D21285" w:rsidRDefault="00CB2676" w:rsidP="00E22706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151C592C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B95A3C1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6B81AD9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FEADADC" w14:textId="77777777" w:rsidR="00CB2676" w:rsidRPr="00D21285" w:rsidRDefault="00CB2676" w:rsidP="00E22706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7FDB1690" w14:textId="6BE9B978" w:rsidR="00CB2676" w:rsidRPr="00D21285" w:rsidRDefault="00CB2676" w:rsidP="00E2270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bookmarkEnd w:id="2"/>
    <w:p w14:paraId="5462E9FA" w14:textId="61ADC27B" w:rsidR="0070216D" w:rsidRDefault="00D21285" w:rsidP="0070216D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5367CE3F" w:rsidR="009F39E8" w:rsidRDefault="00D21285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7D2B20">
          <w:headerReference w:type="default" r:id="rId9"/>
          <w:pgSz w:w="11906" w:h="16838"/>
          <w:pgMar w:top="284" w:right="567" w:bottom="0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943B1" w14:textId="77777777" w:rsidR="003D7170" w:rsidRDefault="003D7170" w:rsidP="00C91C32">
      <w:r>
        <w:separator/>
      </w:r>
    </w:p>
  </w:endnote>
  <w:endnote w:type="continuationSeparator" w:id="0">
    <w:p w14:paraId="39BD44D6" w14:textId="77777777" w:rsidR="003D7170" w:rsidRDefault="003D7170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8C56F" w14:textId="77777777" w:rsidR="003D7170" w:rsidRDefault="003D7170" w:rsidP="00C91C32">
      <w:r>
        <w:separator/>
      </w:r>
    </w:p>
  </w:footnote>
  <w:footnote w:type="continuationSeparator" w:id="0">
    <w:p w14:paraId="7CFE8500" w14:textId="77777777" w:rsidR="003D7170" w:rsidRDefault="003D7170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EndPr/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EndPr/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17914"/>
    <w:rsid w:val="00021C5C"/>
    <w:rsid w:val="00022063"/>
    <w:rsid w:val="00031CA1"/>
    <w:rsid w:val="00034014"/>
    <w:rsid w:val="00035145"/>
    <w:rsid w:val="00035811"/>
    <w:rsid w:val="00035F3E"/>
    <w:rsid w:val="00036C5E"/>
    <w:rsid w:val="000417EB"/>
    <w:rsid w:val="00044440"/>
    <w:rsid w:val="000555C8"/>
    <w:rsid w:val="00060944"/>
    <w:rsid w:val="0006613F"/>
    <w:rsid w:val="00066A39"/>
    <w:rsid w:val="0007004B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E0CDB"/>
    <w:rsid w:val="001E0DF0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517D4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0A6B"/>
    <w:rsid w:val="00466094"/>
    <w:rsid w:val="004669EE"/>
    <w:rsid w:val="004728C7"/>
    <w:rsid w:val="0048164B"/>
    <w:rsid w:val="00485730"/>
    <w:rsid w:val="00486520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4C"/>
    <w:rsid w:val="005D4390"/>
    <w:rsid w:val="005E3054"/>
    <w:rsid w:val="005F3E43"/>
    <w:rsid w:val="005F4673"/>
    <w:rsid w:val="005F6297"/>
    <w:rsid w:val="006077B3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40DC"/>
    <w:rsid w:val="00B2669B"/>
    <w:rsid w:val="00B304AE"/>
    <w:rsid w:val="00B347BF"/>
    <w:rsid w:val="00B34F5F"/>
    <w:rsid w:val="00B42877"/>
    <w:rsid w:val="00B42CCE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B2676"/>
    <w:rsid w:val="00CC13F3"/>
    <w:rsid w:val="00CD0042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D32BB"/>
    <w:rsid w:val="00DD6B5F"/>
    <w:rsid w:val="00DD7384"/>
    <w:rsid w:val="00DD7CF2"/>
    <w:rsid w:val="00DE034C"/>
    <w:rsid w:val="00DE03C5"/>
    <w:rsid w:val="00DE4254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16E72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ий текст з від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2268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IRA</cp:lastModifiedBy>
  <cp:revision>7</cp:revision>
  <cp:lastPrinted>2025-04-22T13:27:00Z</cp:lastPrinted>
  <dcterms:created xsi:type="dcterms:W3CDTF">2025-04-21T11:53:00Z</dcterms:created>
  <dcterms:modified xsi:type="dcterms:W3CDTF">2025-04-30T07:40:00Z</dcterms:modified>
</cp:coreProperties>
</file>