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F3" w:rsidRDefault="00246FF3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:rsidR="00246FF3" w:rsidRDefault="00A1452F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  <w:lang w:val="ru-RU" w:eastAsia="ru-RU"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FF3" w:rsidRDefault="00A145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:rsidR="00246FF3" w:rsidRDefault="00A145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:rsidR="00246FF3" w:rsidRDefault="00246FF3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6FF3" w:rsidRDefault="00A1452F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шістдесят сьома чергова сесія восьмого скликання</w:t>
      </w:r>
    </w:p>
    <w:p w:rsidR="00246FF3" w:rsidRDefault="00246FF3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6FF3" w:rsidRDefault="00A145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ПРЄКТ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397E5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A1452F">
        <w:rPr>
          <w:rFonts w:ascii="Times New Roman" w:hAnsi="Times New Roman"/>
          <w:sz w:val="28"/>
          <w:szCs w:val="28"/>
          <w:lang w:val="uk-UA"/>
        </w:rPr>
        <w:t xml:space="preserve"> березня</w:t>
      </w:r>
      <w:r w:rsidR="00A1452F">
        <w:rPr>
          <w:rFonts w:ascii="Times New Roman" w:hAnsi="Times New Roman"/>
          <w:sz w:val="28"/>
          <w:szCs w:val="28"/>
        </w:rPr>
        <w:t xml:space="preserve"> 2025 року</w:t>
      </w:r>
      <w:r w:rsidR="00A1452F">
        <w:rPr>
          <w:rFonts w:ascii="Times New Roman" w:hAnsi="Times New Roman"/>
          <w:sz w:val="28"/>
          <w:szCs w:val="28"/>
        </w:rPr>
        <w:tab/>
      </w:r>
      <w:r w:rsidR="00A1452F">
        <w:rPr>
          <w:rFonts w:ascii="Times New Roman" w:hAnsi="Times New Roman"/>
          <w:sz w:val="28"/>
          <w:szCs w:val="28"/>
        </w:rPr>
        <w:tab/>
      </w:r>
      <w:r w:rsidR="00A1452F">
        <w:rPr>
          <w:rFonts w:ascii="Times New Roman" w:hAnsi="Times New Roman"/>
          <w:sz w:val="28"/>
          <w:szCs w:val="28"/>
        </w:rPr>
        <w:tab/>
      </w:r>
      <w:r w:rsidR="00A1452F"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 w:rsidR="00A1452F">
        <w:rPr>
          <w:rFonts w:ascii="Times New Roman" w:hAnsi="Times New Roman"/>
          <w:sz w:val="28"/>
          <w:szCs w:val="28"/>
          <w:lang w:val="uk-UA"/>
        </w:rPr>
        <w:t>_</w:t>
      </w: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A1452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</w:p>
    <w:p w:rsidR="00246FF3" w:rsidRDefault="00A1452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дошок захисникам України </w:t>
      </w:r>
    </w:p>
    <w:p w:rsidR="00246FF3" w:rsidRDefault="00A1452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Кірдану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та Романенку А.П.,</w:t>
      </w:r>
    </w:p>
    <w:p w:rsidR="00246FF3" w:rsidRDefault="00A1452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Петрашу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Р.А.,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Чигрину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Р.М.,</w:t>
      </w:r>
    </w:p>
    <w:p w:rsidR="00246FF3" w:rsidRDefault="00A1452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Куненку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А.В. </w:t>
      </w:r>
    </w:p>
    <w:p w:rsidR="00246FF3" w:rsidRPr="00397E5D" w:rsidRDefault="00246FF3">
      <w:pPr>
        <w:pStyle w:val="ab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6FF3" w:rsidRPr="00397E5D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97E5D">
        <w:rPr>
          <w:rFonts w:ascii="Times New Roman" w:hAnsi="Times New Roman"/>
          <w:sz w:val="28"/>
          <w:szCs w:val="28"/>
          <w:lang w:val="uk-UA"/>
        </w:rPr>
        <w:t xml:space="preserve">Відповідно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397E5D">
        <w:rPr>
          <w:rFonts w:ascii="Times New Roman" w:hAnsi="Times New Roman"/>
          <w:sz w:val="28"/>
          <w:szCs w:val="28"/>
          <w:lang w:val="uk-UA"/>
        </w:rPr>
        <w:t xml:space="preserve">ст. 59 Закону України </w:t>
      </w:r>
      <w:r w:rsidR="00397E5D">
        <w:rPr>
          <w:rFonts w:ascii="Times New Roman" w:hAnsi="Times New Roman"/>
          <w:sz w:val="28"/>
          <w:szCs w:val="28"/>
          <w:lang w:val="uk-UA"/>
        </w:rPr>
        <w:t>«</w:t>
      </w:r>
      <w:r w:rsidRPr="00397E5D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397E5D">
        <w:rPr>
          <w:rFonts w:ascii="Times New Roman" w:hAnsi="Times New Roman"/>
          <w:sz w:val="28"/>
          <w:szCs w:val="28"/>
          <w:lang w:val="uk-UA"/>
        </w:rPr>
        <w:t>»</w:t>
      </w:r>
      <w:r w:rsidRPr="00397E5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97E5D">
        <w:rPr>
          <w:rFonts w:ascii="Times New Roman" w:hAnsi="Times New Roman"/>
          <w:sz w:val="28"/>
          <w:szCs w:val="28"/>
          <w:lang w:val="uk-UA"/>
        </w:rPr>
        <w:t>Закону України «Про культуру»,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охоро</w:t>
      </w:r>
      <w:r w:rsidR="00397E5D">
        <w:rPr>
          <w:rFonts w:ascii="Times New Roman" w:hAnsi="Times New Roman"/>
          <w:sz w:val="28"/>
          <w:szCs w:val="28"/>
          <w:lang w:val="uk-UA"/>
        </w:rPr>
        <w:t>ну культурної спадщини»</w:t>
      </w:r>
      <w:r>
        <w:rPr>
          <w:rFonts w:ascii="Times New Roman" w:hAnsi="Times New Roman"/>
          <w:sz w:val="28"/>
          <w:szCs w:val="28"/>
          <w:lang w:val="uk-UA"/>
        </w:rPr>
        <w:t>, постан</w:t>
      </w:r>
      <w:r w:rsidR="00397E5D">
        <w:rPr>
          <w:rFonts w:ascii="Times New Roman" w:hAnsi="Times New Roman"/>
          <w:sz w:val="28"/>
          <w:szCs w:val="28"/>
          <w:lang w:val="uk-UA"/>
        </w:rPr>
        <w:t>ови Кабінету міністрів України «</w:t>
      </w:r>
      <w:r>
        <w:rPr>
          <w:rFonts w:ascii="Times New Roman" w:hAnsi="Times New Roman"/>
          <w:sz w:val="28"/>
          <w:szCs w:val="28"/>
          <w:lang w:val="uk-UA"/>
        </w:rPr>
        <w:t>Деякі питання спорудження (ство</w:t>
      </w:r>
      <w:r w:rsidR="00397E5D">
        <w:rPr>
          <w:rFonts w:ascii="Times New Roman" w:hAnsi="Times New Roman"/>
          <w:sz w:val="28"/>
          <w:szCs w:val="28"/>
          <w:lang w:val="uk-UA"/>
        </w:rPr>
        <w:t>рення пам’ятників і монументів)» та «</w:t>
      </w:r>
      <w:r>
        <w:rPr>
          <w:rFonts w:ascii="Times New Roman" w:hAnsi="Times New Roman"/>
          <w:sz w:val="28"/>
          <w:szCs w:val="28"/>
          <w:lang w:val="uk-UA"/>
        </w:rPr>
        <w:t xml:space="preserve">Положення про порядок встановлення та демонтаж меморіальних дошок та пам’ятних знаків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терито</w:t>
      </w:r>
      <w:r w:rsidR="00397E5D">
        <w:rPr>
          <w:rFonts w:ascii="Times New Roman" w:hAnsi="Times New Roman"/>
          <w:sz w:val="28"/>
          <w:szCs w:val="28"/>
          <w:lang w:val="uk-UA"/>
        </w:rPr>
        <w:t>ріальної громади», прийнятого</w:t>
      </w:r>
      <w:r>
        <w:rPr>
          <w:rFonts w:ascii="Times New Roman" w:hAnsi="Times New Roman"/>
          <w:sz w:val="28"/>
          <w:szCs w:val="28"/>
          <w:lang w:val="uk-UA"/>
        </w:rPr>
        <w:t xml:space="preserve"> на сорок шостій позачерговій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</w:t>
      </w:r>
      <w:r w:rsidR="00397E5D">
        <w:rPr>
          <w:rFonts w:ascii="Times New Roman" w:hAnsi="Times New Roman"/>
          <w:sz w:val="28"/>
          <w:szCs w:val="28"/>
          <w:lang w:val="uk-UA"/>
        </w:rPr>
        <w:t>ської ради восьмого скликання №</w:t>
      </w:r>
      <w:r>
        <w:rPr>
          <w:rFonts w:ascii="Times New Roman" w:hAnsi="Times New Roman"/>
          <w:sz w:val="28"/>
          <w:szCs w:val="28"/>
          <w:lang w:val="uk-UA"/>
        </w:rPr>
        <w:t xml:space="preserve">2189 від 20.09.2023 року та враховуючи клопотання жителів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Ялосовецького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Вишневого,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Староаврамівського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Штомпелівського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старостатів</w:t>
      </w:r>
      <w:r w:rsidR="00397E5D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встановл</w:t>
      </w:r>
      <w:r>
        <w:rPr>
          <w:rFonts w:ascii="Times New Roman" w:hAnsi="Times New Roman"/>
          <w:sz w:val="28"/>
          <w:szCs w:val="28"/>
          <w:lang w:val="uk-UA"/>
        </w:rPr>
        <w:t>ення меморіальних дошок загибл</w:t>
      </w:r>
      <w:r w:rsidR="00397E5D">
        <w:rPr>
          <w:rFonts w:ascii="Times New Roman" w:hAnsi="Times New Roman"/>
          <w:sz w:val="28"/>
          <w:szCs w:val="28"/>
          <w:lang w:val="uk-UA"/>
        </w:rPr>
        <w:t>им захисникам України, землякам»</w:t>
      </w:r>
      <w:r>
        <w:rPr>
          <w:rFonts w:ascii="Times New Roman" w:hAnsi="Times New Roman"/>
          <w:sz w:val="28"/>
          <w:szCs w:val="28"/>
          <w:lang w:val="uk-UA"/>
        </w:rPr>
        <w:t xml:space="preserve">, міська </w:t>
      </w:r>
      <w:r w:rsidRPr="00397E5D">
        <w:rPr>
          <w:rFonts w:ascii="Times New Roman" w:hAnsi="Times New Roman"/>
          <w:sz w:val="28"/>
          <w:szCs w:val="28"/>
          <w:lang w:val="uk-UA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97E5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6FF3" w:rsidRPr="00397E5D" w:rsidRDefault="00246FF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6FF3" w:rsidRDefault="00A1452F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A1452F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Лубенського району Полтавської області на виготовлення та встановлення меморіальних дошок героям 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</w:t>
      </w:r>
      <w:r>
        <w:rPr>
          <w:rFonts w:ascii="Times New Roman" w:hAnsi="Times New Roman"/>
          <w:bCs/>
          <w:sz w:val="28"/>
          <w:szCs w:val="28"/>
          <w:lang w:val="uk-UA"/>
        </w:rPr>
        <w:t>і та незалежності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, а саме:</w:t>
      </w:r>
    </w:p>
    <w:p w:rsidR="00246FF3" w:rsidRDefault="00A1452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 Романенку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Аліму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Павловичу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Кірдану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В’ячеславу Івановичу </w:t>
      </w:r>
      <w:r>
        <w:rPr>
          <w:rFonts w:ascii="Times New Roman" w:hAnsi="Times New Roman"/>
          <w:bCs/>
          <w:sz w:val="28"/>
          <w:szCs w:val="28"/>
          <w:lang w:val="uk-UA"/>
        </w:rPr>
        <w:t>на подвір’ї</w:t>
      </w:r>
      <w:r w:rsidR="00397E5D">
        <w:rPr>
          <w:rFonts w:ascii="Times New Roman" w:hAnsi="Times New Roman"/>
          <w:bCs/>
          <w:sz w:val="28"/>
          <w:szCs w:val="28"/>
          <w:lang w:val="uk-UA"/>
        </w:rPr>
        <w:t xml:space="preserve"> ОЗ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заклад загальної </w:t>
      </w:r>
      <w:r w:rsidR="00397E5D">
        <w:rPr>
          <w:rFonts w:ascii="Times New Roman" w:hAnsi="Times New Roman"/>
          <w:bCs/>
          <w:sz w:val="28"/>
          <w:szCs w:val="28"/>
          <w:lang w:val="uk-UA"/>
        </w:rPr>
        <w:t>середньої освіти І-ІІІ ступенів»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Лубенського району Полтавської області,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: 378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2, Полтавська область, Лубенський район, село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Ялосовецьке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вул. Центральна, </w:t>
      </w:r>
      <w:r>
        <w:rPr>
          <w:rFonts w:ascii="Times New Roman" w:hAnsi="Times New Roman"/>
          <w:bCs/>
          <w:sz w:val="28"/>
          <w:szCs w:val="28"/>
          <w:lang w:val="uk-UA"/>
        </w:rPr>
        <w:t>127;</w:t>
      </w:r>
    </w:p>
    <w:p w:rsidR="00246FF3" w:rsidRDefault="00246FF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6FF3" w:rsidRDefault="00A1452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Петрашу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Руслану Анатолійовичу біля пам’ятного знаку загиблим воїнам Другої світової війни у селі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: 37823, Полтавська область, Лубенський район, 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ло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вул. Шевченка, 14;</w:t>
      </w:r>
    </w:p>
    <w:p w:rsidR="00246FF3" w:rsidRDefault="00246FF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6FF3" w:rsidRDefault="00246FF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6FF3" w:rsidRDefault="00246FF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6FF3" w:rsidRDefault="00A1452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Чигрину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Роману Миколайовичу поблиз</w:t>
      </w:r>
      <w:r w:rsidR="00397E5D">
        <w:rPr>
          <w:rFonts w:ascii="Times New Roman" w:hAnsi="Times New Roman"/>
          <w:bCs/>
          <w:sz w:val="28"/>
          <w:szCs w:val="28"/>
          <w:lang w:val="uk-UA"/>
        </w:rPr>
        <w:t>у адміністративної будівлі СВК «Відродження»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37805, Полтавська область, Лубенський район, село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Петракіївка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вул. Центральна (поблизу стели пам’яті).</w:t>
      </w:r>
    </w:p>
    <w:p w:rsidR="00246FF3" w:rsidRDefault="00246FF3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6FF3" w:rsidRDefault="00A1452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Куненку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Ана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толію Володимировичу на території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Штомпелівської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загальноосвітньої школи І-ІІІ ступенів,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37832, Полтавська обл., Лубенський р-н, с.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Штомпелівка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вул. Центральна, 38.</w:t>
      </w:r>
    </w:p>
    <w:p w:rsidR="00246FF3" w:rsidRDefault="00246FF3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46FF3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Визначити відповідальним балансоутримувачем меморіальних дошок відділ куль</w:t>
      </w:r>
      <w:r>
        <w:rPr>
          <w:rFonts w:ascii="Times New Roman" w:hAnsi="Times New Roman"/>
          <w:sz w:val="28"/>
          <w:szCs w:val="28"/>
          <w:lang w:val="uk-UA"/>
        </w:rPr>
        <w:t xml:space="preserve">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Лубенського району Полтавської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46FF3" w:rsidRDefault="00246FF3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46FF3" w:rsidRDefault="00246FF3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  <w:sectPr w:rsidR="00246F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</w:p>
    <w:p w:rsidR="00246FF3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Виготовлення та встановлення меморіальних дошок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здійснити за кошти місцевого бюджету.</w:t>
      </w:r>
    </w:p>
    <w:p w:rsidR="00246FF3" w:rsidRDefault="00246FF3">
      <w:pPr>
        <w:pStyle w:val="ab"/>
        <w:ind w:firstLine="708"/>
        <w:rPr>
          <w:rFonts w:ascii="Times New Roman" w:hAnsi="Times New Roman"/>
          <w:sz w:val="12"/>
          <w:szCs w:val="12"/>
        </w:rPr>
      </w:pPr>
      <w:bookmarkStart w:id="0" w:name="_GoBack"/>
      <w:bookmarkEnd w:id="0"/>
    </w:p>
    <w:p w:rsidR="00246FF3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 Виготовлення та встановлення меморіальних дошок здійснити за кошти місцевого бюджету.</w:t>
      </w:r>
    </w:p>
    <w:p w:rsidR="00246FF3" w:rsidRDefault="00246FF3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:rsidR="00246FF3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меморіальні дошки Романенку</w:t>
      </w:r>
      <w:r>
        <w:rPr>
          <w:rFonts w:ascii="Times New Roman" w:hAnsi="Times New Roman"/>
          <w:sz w:val="28"/>
          <w:szCs w:val="28"/>
          <w:lang w:val="uk-UA"/>
        </w:rPr>
        <w:t xml:space="preserve"> А.П.,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Кірдану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Петрашу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/>
          <w:sz w:val="28"/>
          <w:szCs w:val="28"/>
          <w:lang w:val="uk-UA"/>
        </w:rPr>
        <w:t xml:space="preserve">А.,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Чигрину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Куненку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А.В.</w:t>
      </w:r>
      <w:r>
        <w:rPr>
          <w:rFonts w:ascii="Times New Roman" w:hAnsi="Times New Roman"/>
          <w:sz w:val="28"/>
          <w:szCs w:val="28"/>
          <w:lang w:val="uk-UA"/>
        </w:rPr>
        <w:t xml:space="preserve"> до реєстру пам’ятних дошок та знаків, розташованих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ради. </w:t>
      </w:r>
    </w:p>
    <w:p w:rsidR="00246FF3" w:rsidRDefault="00246FF3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:rsidR="00246FF3" w:rsidRDefault="00A145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Контроль за виконанням рішення покласти на постійну комісію з питань охорони здоров’я, освіти, культури, молодіжної політики та </w:t>
      </w:r>
      <w:r>
        <w:rPr>
          <w:rFonts w:ascii="Times New Roman" w:hAnsi="Times New Roman"/>
          <w:sz w:val="28"/>
          <w:szCs w:val="28"/>
          <w:lang w:val="uk-UA"/>
        </w:rPr>
        <w:t>спорту.</w:t>
      </w: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246F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246FF3" w:rsidRDefault="00A1452F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246FF3">
      <w:type w:val="continuous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2F" w:rsidRDefault="00A1452F">
      <w:r>
        <w:separator/>
      </w:r>
    </w:p>
  </w:endnote>
  <w:endnote w:type="continuationSeparator" w:id="0">
    <w:p w:rsidR="00A1452F" w:rsidRDefault="00A1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246F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246FF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24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2F" w:rsidRDefault="00A1452F">
      <w:r>
        <w:separator/>
      </w:r>
    </w:p>
  </w:footnote>
  <w:footnote w:type="continuationSeparator" w:id="0">
    <w:p w:rsidR="00A1452F" w:rsidRDefault="00A14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246FF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246FF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F3" w:rsidRDefault="00A1452F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13F"/>
    <w:rsid w:val="001034B6"/>
    <w:rsid w:val="0012313F"/>
    <w:rsid w:val="00186BFF"/>
    <w:rsid w:val="001B3B71"/>
    <w:rsid w:val="00246FF3"/>
    <w:rsid w:val="003420FC"/>
    <w:rsid w:val="00397E5D"/>
    <w:rsid w:val="003B21E8"/>
    <w:rsid w:val="004723BB"/>
    <w:rsid w:val="005943AE"/>
    <w:rsid w:val="005F3AA6"/>
    <w:rsid w:val="006604A8"/>
    <w:rsid w:val="00731733"/>
    <w:rsid w:val="0076516B"/>
    <w:rsid w:val="007903AF"/>
    <w:rsid w:val="009435F7"/>
    <w:rsid w:val="0096176C"/>
    <w:rsid w:val="00A1452F"/>
    <w:rsid w:val="00B83031"/>
    <w:rsid w:val="00E87032"/>
    <w:rsid w:val="00ED0D42"/>
    <w:rsid w:val="11C86A09"/>
    <w:rsid w:val="1A6A4F48"/>
    <w:rsid w:val="1E963EA6"/>
    <w:rsid w:val="1FE37E5F"/>
    <w:rsid w:val="29122012"/>
    <w:rsid w:val="2A3F2223"/>
    <w:rsid w:val="32C33FFC"/>
    <w:rsid w:val="37473257"/>
    <w:rsid w:val="3C5D7A1B"/>
    <w:rsid w:val="408C2411"/>
    <w:rsid w:val="5CA44B82"/>
    <w:rsid w:val="6B324DDD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30330-974E-4B41-B99F-53040702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469</Words>
  <Characters>2677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32</cp:revision>
  <cp:lastPrinted>2025-03-03T10:09:00Z</cp:lastPrinted>
  <dcterms:created xsi:type="dcterms:W3CDTF">2020-01-02T07:10:00Z</dcterms:created>
  <dcterms:modified xsi:type="dcterms:W3CDTF">2025-03-14T08:14:00Z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608724109361474296CC421266F94E23_13</vt:lpwstr>
  </property>
</Properties>
</file>